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D73FFE" w14:paraId="2C9EAF14" w14:textId="77777777">
        <w:tblPrEx>
          <w:tblCellMar>
            <w:top w:w="0" w:type="dxa"/>
            <w:bottom w:w="0" w:type="dxa"/>
          </w:tblCellMar>
        </w:tblPrEx>
        <w:trPr>
          <w:tblCellSpacing w:w="60" w:type="dxa"/>
        </w:trPr>
        <w:tc>
          <w:tcPr>
            <w:tcW w:w="1200" w:type="pct"/>
            <w:shd w:val="clear" w:color="auto" w:fill="E7F0F9"/>
          </w:tcPr>
          <w:p w14:paraId="7F92E447" w14:textId="77777777" w:rsidR="00D73FFE" w:rsidRDefault="00CF3905">
            <w:pPr>
              <w:spacing w:after="0" w:line="240" w:lineRule="auto"/>
            </w:pPr>
            <w:r>
              <w:rPr>
                <w:b/>
              </w:rPr>
              <w:t>RKP broj</w:t>
            </w:r>
          </w:p>
        </w:tc>
        <w:tc>
          <w:tcPr>
            <w:tcW w:w="0" w:type="auto"/>
            <w:shd w:val="clear" w:color="auto" w:fill="E7F0F9"/>
          </w:tcPr>
          <w:p w14:paraId="414C712D" w14:textId="77777777" w:rsidR="00D73FFE" w:rsidRDefault="00CF3905">
            <w:pPr>
              <w:spacing w:after="0" w:line="240" w:lineRule="auto"/>
            </w:pPr>
            <w:r>
              <w:t>12727</w:t>
            </w:r>
          </w:p>
        </w:tc>
      </w:tr>
      <w:tr w:rsidR="00D73FFE" w14:paraId="403D504E" w14:textId="77777777">
        <w:tblPrEx>
          <w:tblCellMar>
            <w:top w:w="0" w:type="dxa"/>
            <w:bottom w:w="0" w:type="dxa"/>
          </w:tblCellMar>
        </w:tblPrEx>
        <w:trPr>
          <w:tblCellSpacing w:w="60" w:type="dxa"/>
        </w:trPr>
        <w:tc>
          <w:tcPr>
            <w:tcW w:w="1200" w:type="pct"/>
            <w:shd w:val="clear" w:color="auto" w:fill="E7F0F9"/>
          </w:tcPr>
          <w:p w14:paraId="5EAF6309" w14:textId="77777777" w:rsidR="00D73FFE" w:rsidRDefault="00CF3905">
            <w:pPr>
              <w:spacing w:after="0" w:line="240" w:lineRule="auto"/>
            </w:pPr>
            <w:r>
              <w:rPr>
                <w:b/>
              </w:rPr>
              <w:t>Naziv obveznika</w:t>
            </w:r>
          </w:p>
        </w:tc>
        <w:tc>
          <w:tcPr>
            <w:tcW w:w="0" w:type="auto"/>
            <w:shd w:val="clear" w:color="auto" w:fill="E7F0F9"/>
          </w:tcPr>
          <w:p w14:paraId="09774922" w14:textId="77777777" w:rsidR="00D73FFE" w:rsidRDefault="00CF3905">
            <w:pPr>
              <w:spacing w:after="0" w:line="240" w:lineRule="auto"/>
            </w:pPr>
            <w:r>
              <w:t>OSNOVNA ŠKOLA ROGOZNICA</w:t>
            </w:r>
          </w:p>
        </w:tc>
      </w:tr>
      <w:tr w:rsidR="00D73FFE" w14:paraId="762B3E52" w14:textId="77777777">
        <w:tblPrEx>
          <w:tblCellMar>
            <w:top w:w="0" w:type="dxa"/>
            <w:bottom w:w="0" w:type="dxa"/>
          </w:tblCellMar>
        </w:tblPrEx>
        <w:trPr>
          <w:tblCellSpacing w:w="60" w:type="dxa"/>
        </w:trPr>
        <w:tc>
          <w:tcPr>
            <w:tcW w:w="1200" w:type="pct"/>
            <w:shd w:val="clear" w:color="auto" w:fill="E7F0F9"/>
          </w:tcPr>
          <w:p w14:paraId="0B3E8799" w14:textId="77777777" w:rsidR="00D73FFE" w:rsidRDefault="00CF3905">
            <w:pPr>
              <w:spacing w:after="0" w:line="240" w:lineRule="auto"/>
            </w:pPr>
            <w:r>
              <w:rPr>
                <w:b/>
              </w:rPr>
              <w:t>Razina</w:t>
            </w:r>
          </w:p>
        </w:tc>
        <w:tc>
          <w:tcPr>
            <w:tcW w:w="0" w:type="auto"/>
            <w:shd w:val="clear" w:color="auto" w:fill="E7F0F9"/>
          </w:tcPr>
          <w:p w14:paraId="78E4A217" w14:textId="77777777" w:rsidR="00D73FFE" w:rsidRDefault="00CF3905">
            <w:pPr>
              <w:spacing w:after="0" w:line="240" w:lineRule="auto"/>
            </w:pPr>
            <w:r>
              <w:t>31</w:t>
            </w:r>
          </w:p>
        </w:tc>
      </w:tr>
    </w:tbl>
    <w:p w14:paraId="7402B444" w14:textId="77777777" w:rsidR="00D73FFE" w:rsidRDefault="00CF3905">
      <w:r>
        <w:br/>
      </w:r>
    </w:p>
    <w:p w14:paraId="26CA84DF" w14:textId="77777777" w:rsidR="00D73FFE" w:rsidRDefault="00CF3905">
      <w:pPr>
        <w:spacing w:line="240" w:lineRule="auto"/>
        <w:jc w:val="center"/>
      </w:pPr>
      <w:r>
        <w:rPr>
          <w:b/>
          <w:sz w:val="28"/>
        </w:rPr>
        <w:t>BILJEŠKE UZ FINANCIJSKE IZVJEŠTAJE</w:t>
      </w:r>
    </w:p>
    <w:p w14:paraId="425835B4" w14:textId="77777777" w:rsidR="00D73FFE" w:rsidRDefault="00CF3905">
      <w:pPr>
        <w:spacing w:line="240" w:lineRule="auto"/>
        <w:jc w:val="center"/>
      </w:pPr>
      <w:r>
        <w:rPr>
          <w:b/>
          <w:sz w:val="28"/>
        </w:rPr>
        <w:t>ZA RAZDOBLJE</w:t>
      </w:r>
    </w:p>
    <w:p w14:paraId="4D111A4C" w14:textId="77777777" w:rsidR="00D73FFE" w:rsidRDefault="00CF3905">
      <w:pPr>
        <w:spacing w:line="240" w:lineRule="auto"/>
        <w:jc w:val="center"/>
      </w:pPr>
      <w:r>
        <w:rPr>
          <w:b/>
          <w:sz w:val="28"/>
        </w:rPr>
        <w:t>I - XII 2025.</w:t>
      </w:r>
    </w:p>
    <w:p w14:paraId="242AC2A2" w14:textId="77777777" w:rsidR="00D73FFE" w:rsidRDefault="00D73FFE"/>
    <w:p w14:paraId="17797F58" w14:textId="77777777" w:rsidR="00D73FFE" w:rsidRDefault="00CF3905">
      <w:pPr>
        <w:keepNext/>
        <w:spacing w:line="240" w:lineRule="auto"/>
        <w:jc w:val="center"/>
      </w:pPr>
      <w:r>
        <w:rPr>
          <w:b/>
          <w:sz w:val="28"/>
        </w:rPr>
        <w:t>Izvještaj o prihodima i rashodima, primicima i izdacima</w:t>
      </w:r>
    </w:p>
    <w:p w14:paraId="2B17192E" w14:textId="77777777" w:rsidR="00D73FFE" w:rsidRDefault="00CF3905">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461FC1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2DB4C1"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7C2F0C"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25BE86"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0AC204" w14:textId="77777777" w:rsidR="00D73FFE" w:rsidRDefault="00CF39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C1FB28" w14:textId="77777777" w:rsidR="00D73FFE" w:rsidRDefault="00CF39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CCEFFD" w14:textId="77777777" w:rsidR="00D73FFE" w:rsidRDefault="00CF3905">
            <w:pPr>
              <w:keepNext/>
              <w:keepLines/>
              <w:spacing w:after="0" w:line="240" w:lineRule="auto"/>
              <w:jc w:val="center"/>
            </w:pPr>
            <w:r>
              <w:rPr>
                <w:b/>
                <w:sz w:val="18"/>
              </w:rPr>
              <w:t>Indeks (%)</w:t>
            </w:r>
          </w:p>
        </w:tc>
      </w:tr>
      <w:tr w:rsidR="00D73FFE" w14:paraId="5C2CFE8E" w14:textId="77777777">
        <w:tblPrEx>
          <w:tblCellMar>
            <w:top w:w="0" w:type="dxa"/>
            <w:bottom w:w="0" w:type="dxa"/>
          </w:tblCellMar>
        </w:tblPrEx>
        <w:trPr>
          <w:cantSplit/>
          <w:trHeight w:val="560"/>
        </w:trPr>
        <w:tc>
          <w:tcPr>
            <w:tcW w:w="700" w:type="dxa"/>
            <w:tcMar>
              <w:top w:w="0" w:type="dxa"/>
              <w:bottom w:w="0" w:type="dxa"/>
            </w:tcMar>
            <w:vAlign w:val="center"/>
          </w:tcPr>
          <w:p w14:paraId="4B506BBA" w14:textId="77777777" w:rsidR="00D73FFE" w:rsidRDefault="00CF3905">
            <w:pPr>
              <w:keepNext/>
              <w:keepLines/>
              <w:spacing w:after="0" w:line="240" w:lineRule="auto"/>
            </w:pPr>
            <w:r>
              <w:rPr>
                <w:sz w:val="18"/>
              </w:rPr>
              <w:t>6</w:t>
            </w:r>
          </w:p>
        </w:tc>
        <w:tc>
          <w:tcPr>
            <w:tcW w:w="3180" w:type="dxa"/>
            <w:tcMar>
              <w:top w:w="0" w:type="dxa"/>
              <w:bottom w:w="0" w:type="dxa"/>
            </w:tcMar>
            <w:vAlign w:val="center"/>
          </w:tcPr>
          <w:p w14:paraId="674198EF" w14:textId="77777777" w:rsidR="00D73FFE" w:rsidRDefault="00CF3905">
            <w:pPr>
              <w:keepNext/>
              <w:keepLines/>
              <w:spacing w:after="0" w:line="240" w:lineRule="auto"/>
            </w:pPr>
            <w:r>
              <w:rPr>
                <w:sz w:val="18"/>
              </w:rPr>
              <w:t>PRIHODI POSLOVANJA (šifre 61+62+63+64+65+66+67+68)</w:t>
            </w:r>
          </w:p>
        </w:tc>
        <w:tc>
          <w:tcPr>
            <w:tcW w:w="700" w:type="dxa"/>
            <w:tcMar>
              <w:top w:w="0" w:type="dxa"/>
              <w:bottom w:w="0" w:type="dxa"/>
            </w:tcMar>
            <w:vAlign w:val="center"/>
          </w:tcPr>
          <w:p w14:paraId="5A94E4E9" w14:textId="77777777" w:rsidR="00D73FFE" w:rsidRDefault="00CF3905">
            <w:pPr>
              <w:keepNext/>
              <w:keepLines/>
              <w:spacing w:after="0" w:line="240" w:lineRule="auto"/>
            </w:pPr>
            <w:r>
              <w:rPr>
                <w:sz w:val="18"/>
              </w:rPr>
              <w:t>6</w:t>
            </w:r>
          </w:p>
        </w:tc>
        <w:tc>
          <w:tcPr>
            <w:tcW w:w="1860" w:type="dxa"/>
            <w:tcMar>
              <w:top w:w="0" w:type="dxa"/>
              <w:bottom w:w="0" w:type="dxa"/>
            </w:tcMar>
            <w:vAlign w:val="center"/>
          </w:tcPr>
          <w:p w14:paraId="1D1EA18D" w14:textId="77777777" w:rsidR="00D73FFE" w:rsidRDefault="00CF3905">
            <w:pPr>
              <w:keepNext/>
              <w:keepLines/>
              <w:spacing w:after="0" w:line="240" w:lineRule="auto"/>
              <w:jc w:val="right"/>
            </w:pPr>
            <w:r>
              <w:rPr>
                <w:sz w:val="18"/>
              </w:rPr>
              <w:t>843.963,17</w:t>
            </w:r>
          </w:p>
        </w:tc>
        <w:tc>
          <w:tcPr>
            <w:tcW w:w="1860" w:type="dxa"/>
            <w:tcMar>
              <w:top w:w="0" w:type="dxa"/>
              <w:bottom w:w="0" w:type="dxa"/>
            </w:tcMar>
            <w:vAlign w:val="center"/>
          </w:tcPr>
          <w:p w14:paraId="3B286F12" w14:textId="77777777" w:rsidR="00D73FFE" w:rsidRDefault="00CF3905">
            <w:pPr>
              <w:keepNext/>
              <w:keepLines/>
              <w:spacing w:after="0" w:line="240" w:lineRule="auto"/>
              <w:jc w:val="right"/>
            </w:pPr>
            <w:r>
              <w:rPr>
                <w:sz w:val="18"/>
              </w:rPr>
              <w:t>949.801,97</w:t>
            </w:r>
          </w:p>
        </w:tc>
        <w:tc>
          <w:tcPr>
            <w:tcW w:w="700" w:type="dxa"/>
            <w:tcMar>
              <w:top w:w="0" w:type="dxa"/>
              <w:bottom w:w="0" w:type="dxa"/>
            </w:tcMar>
            <w:vAlign w:val="center"/>
          </w:tcPr>
          <w:p w14:paraId="1939DF02" w14:textId="77777777" w:rsidR="00D73FFE" w:rsidRDefault="00CF3905">
            <w:pPr>
              <w:keepNext/>
              <w:keepLines/>
              <w:spacing w:after="0" w:line="240" w:lineRule="auto"/>
              <w:jc w:val="right"/>
            </w:pPr>
            <w:r>
              <w:rPr>
                <w:sz w:val="18"/>
              </w:rPr>
              <w:t>112,5</w:t>
            </w:r>
          </w:p>
        </w:tc>
      </w:tr>
      <w:tr w:rsidR="00D73FFE" w14:paraId="0DD29B71" w14:textId="77777777">
        <w:tblPrEx>
          <w:tblCellMar>
            <w:top w:w="0" w:type="dxa"/>
            <w:bottom w:w="0" w:type="dxa"/>
          </w:tblCellMar>
        </w:tblPrEx>
        <w:trPr>
          <w:cantSplit/>
          <w:trHeight w:val="560"/>
        </w:trPr>
        <w:tc>
          <w:tcPr>
            <w:tcW w:w="700" w:type="dxa"/>
            <w:tcMar>
              <w:top w:w="0" w:type="dxa"/>
              <w:bottom w:w="0" w:type="dxa"/>
            </w:tcMar>
            <w:vAlign w:val="center"/>
          </w:tcPr>
          <w:p w14:paraId="452E7B95" w14:textId="77777777" w:rsidR="00D73FFE" w:rsidRDefault="00CF3905">
            <w:pPr>
              <w:keepNext/>
              <w:keepLines/>
              <w:spacing w:after="0" w:line="240" w:lineRule="auto"/>
            </w:pPr>
            <w:r>
              <w:rPr>
                <w:sz w:val="18"/>
              </w:rPr>
              <w:t>3</w:t>
            </w:r>
          </w:p>
        </w:tc>
        <w:tc>
          <w:tcPr>
            <w:tcW w:w="3180" w:type="dxa"/>
            <w:tcMar>
              <w:top w:w="0" w:type="dxa"/>
              <w:bottom w:w="0" w:type="dxa"/>
            </w:tcMar>
            <w:vAlign w:val="center"/>
          </w:tcPr>
          <w:p w14:paraId="2347CF7C" w14:textId="77777777" w:rsidR="00D73FFE" w:rsidRDefault="00CF3905">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14EF7F0C" w14:textId="77777777" w:rsidR="00D73FFE" w:rsidRDefault="00CF3905">
            <w:pPr>
              <w:keepNext/>
              <w:keepLines/>
              <w:spacing w:after="0" w:line="240" w:lineRule="auto"/>
            </w:pPr>
            <w:r>
              <w:rPr>
                <w:sz w:val="18"/>
              </w:rPr>
              <w:t>3</w:t>
            </w:r>
          </w:p>
        </w:tc>
        <w:tc>
          <w:tcPr>
            <w:tcW w:w="1860" w:type="dxa"/>
            <w:tcMar>
              <w:top w:w="0" w:type="dxa"/>
              <w:bottom w:w="0" w:type="dxa"/>
            </w:tcMar>
            <w:vAlign w:val="center"/>
          </w:tcPr>
          <w:p w14:paraId="42E9AF46" w14:textId="77777777" w:rsidR="00D73FFE" w:rsidRDefault="00CF3905">
            <w:pPr>
              <w:keepNext/>
              <w:keepLines/>
              <w:spacing w:after="0" w:line="240" w:lineRule="auto"/>
              <w:jc w:val="right"/>
            </w:pPr>
            <w:r>
              <w:rPr>
                <w:sz w:val="18"/>
              </w:rPr>
              <w:t>835.813,55</w:t>
            </w:r>
          </w:p>
        </w:tc>
        <w:tc>
          <w:tcPr>
            <w:tcW w:w="1860" w:type="dxa"/>
            <w:tcMar>
              <w:top w:w="0" w:type="dxa"/>
              <w:bottom w:w="0" w:type="dxa"/>
            </w:tcMar>
            <w:vAlign w:val="center"/>
          </w:tcPr>
          <w:p w14:paraId="19F5E7F3" w14:textId="77777777" w:rsidR="00D73FFE" w:rsidRDefault="00CF3905">
            <w:pPr>
              <w:keepNext/>
              <w:keepLines/>
              <w:spacing w:after="0" w:line="240" w:lineRule="auto"/>
              <w:jc w:val="right"/>
            </w:pPr>
            <w:r>
              <w:rPr>
                <w:sz w:val="18"/>
              </w:rPr>
              <w:t>1.003.993,57</w:t>
            </w:r>
          </w:p>
        </w:tc>
        <w:tc>
          <w:tcPr>
            <w:tcW w:w="700" w:type="dxa"/>
            <w:tcMar>
              <w:top w:w="0" w:type="dxa"/>
              <w:bottom w:w="0" w:type="dxa"/>
            </w:tcMar>
            <w:vAlign w:val="center"/>
          </w:tcPr>
          <w:p w14:paraId="09D00EC0" w14:textId="77777777" w:rsidR="00D73FFE" w:rsidRDefault="00CF3905">
            <w:pPr>
              <w:keepNext/>
              <w:keepLines/>
              <w:spacing w:after="0" w:line="240" w:lineRule="auto"/>
              <w:jc w:val="right"/>
            </w:pPr>
            <w:r>
              <w:rPr>
                <w:sz w:val="18"/>
              </w:rPr>
              <w:t>120,1</w:t>
            </w:r>
          </w:p>
        </w:tc>
      </w:tr>
      <w:tr w:rsidR="00D73FFE" w14:paraId="04F0C191" w14:textId="77777777">
        <w:tblPrEx>
          <w:tblCellMar>
            <w:top w:w="0" w:type="dxa"/>
            <w:bottom w:w="0" w:type="dxa"/>
          </w:tblCellMar>
        </w:tblPrEx>
        <w:trPr>
          <w:cantSplit/>
          <w:trHeight w:val="560"/>
        </w:trPr>
        <w:tc>
          <w:tcPr>
            <w:tcW w:w="700" w:type="dxa"/>
            <w:tcMar>
              <w:top w:w="0" w:type="dxa"/>
              <w:bottom w:w="0" w:type="dxa"/>
            </w:tcMar>
            <w:vAlign w:val="center"/>
          </w:tcPr>
          <w:p w14:paraId="63A200A9" w14:textId="77777777" w:rsidR="00D73FFE" w:rsidRDefault="00D73FFE">
            <w:pPr>
              <w:keepNext/>
              <w:keepLines/>
              <w:spacing w:after="0" w:line="240" w:lineRule="auto"/>
            </w:pPr>
          </w:p>
        </w:tc>
        <w:tc>
          <w:tcPr>
            <w:tcW w:w="3180" w:type="dxa"/>
            <w:tcMar>
              <w:top w:w="0" w:type="dxa"/>
              <w:bottom w:w="0" w:type="dxa"/>
            </w:tcMar>
            <w:vAlign w:val="center"/>
          </w:tcPr>
          <w:p w14:paraId="59003F97" w14:textId="77777777" w:rsidR="00D73FFE" w:rsidRDefault="00CF3905">
            <w:pPr>
              <w:keepNext/>
              <w:keepLines/>
              <w:spacing w:after="0" w:line="240" w:lineRule="auto"/>
            </w:pPr>
            <w:r>
              <w:rPr>
                <w:b/>
                <w:sz w:val="18"/>
              </w:rPr>
              <w:t>MANJAK PRIHODA POSLOVANJA (šifre Z005-6)</w:t>
            </w:r>
          </w:p>
        </w:tc>
        <w:tc>
          <w:tcPr>
            <w:tcW w:w="700" w:type="dxa"/>
            <w:tcMar>
              <w:top w:w="0" w:type="dxa"/>
              <w:bottom w:w="0" w:type="dxa"/>
            </w:tcMar>
            <w:vAlign w:val="center"/>
          </w:tcPr>
          <w:p w14:paraId="799468C8" w14:textId="77777777" w:rsidR="00D73FFE" w:rsidRDefault="00CF3905">
            <w:pPr>
              <w:keepNext/>
              <w:keepLines/>
              <w:spacing w:after="0" w:line="240" w:lineRule="auto"/>
            </w:pPr>
            <w:r>
              <w:rPr>
                <w:b/>
                <w:sz w:val="18"/>
              </w:rPr>
              <w:t>Y001</w:t>
            </w:r>
          </w:p>
        </w:tc>
        <w:tc>
          <w:tcPr>
            <w:tcW w:w="1860" w:type="dxa"/>
            <w:tcMar>
              <w:top w:w="0" w:type="dxa"/>
              <w:bottom w:w="0" w:type="dxa"/>
            </w:tcMar>
            <w:vAlign w:val="center"/>
          </w:tcPr>
          <w:p w14:paraId="4D84B432" w14:textId="77777777" w:rsidR="00D73FFE" w:rsidRDefault="00CF3905">
            <w:pPr>
              <w:keepNext/>
              <w:keepLines/>
              <w:spacing w:after="0" w:line="240" w:lineRule="auto"/>
              <w:jc w:val="right"/>
            </w:pPr>
            <w:r>
              <w:rPr>
                <w:b/>
                <w:sz w:val="18"/>
              </w:rPr>
              <w:t>0,00</w:t>
            </w:r>
          </w:p>
        </w:tc>
        <w:tc>
          <w:tcPr>
            <w:tcW w:w="1860" w:type="dxa"/>
            <w:tcMar>
              <w:top w:w="0" w:type="dxa"/>
              <w:bottom w:w="0" w:type="dxa"/>
            </w:tcMar>
            <w:vAlign w:val="center"/>
          </w:tcPr>
          <w:p w14:paraId="7701BF99" w14:textId="77777777" w:rsidR="00D73FFE" w:rsidRDefault="00CF3905">
            <w:pPr>
              <w:keepNext/>
              <w:keepLines/>
              <w:spacing w:after="0" w:line="240" w:lineRule="auto"/>
              <w:jc w:val="right"/>
            </w:pPr>
            <w:r>
              <w:rPr>
                <w:b/>
                <w:sz w:val="18"/>
              </w:rPr>
              <w:t>54.191,60</w:t>
            </w:r>
          </w:p>
        </w:tc>
        <w:tc>
          <w:tcPr>
            <w:tcW w:w="700" w:type="dxa"/>
            <w:tcMar>
              <w:top w:w="0" w:type="dxa"/>
              <w:bottom w:w="0" w:type="dxa"/>
            </w:tcMar>
            <w:vAlign w:val="center"/>
          </w:tcPr>
          <w:p w14:paraId="19203DD5" w14:textId="77777777" w:rsidR="00D73FFE" w:rsidRDefault="00CF3905">
            <w:pPr>
              <w:keepNext/>
              <w:keepLines/>
              <w:spacing w:after="0" w:line="240" w:lineRule="auto"/>
              <w:jc w:val="right"/>
            </w:pPr>
            <w:r>
              <w:rPr>
                <w:b/>
                <w:sz w:val="18"/>
              </w:rPr>
              <w:t>-</w:t>
            </w:r>
          </w:p>
        </w:tc>
      </w:tr>
      <w:tr w:rsidR="00D73FFE" w14:paraId="5CFED3DE" w14:textId="77777777">
        <w:tblPrEx>
          <w:tblCellMar>
            <w:top w:w="0" w:type="dxa"/>
            <w:bottom w:w="0" w:type="dxa"/>
          </w:tblCellMar>
        </w:tblPrEx>
        <w:trPr>
          <w:cantSplit/>
          <w:trHeight w:val="560"/>
        </w:trPr>
        <w:tc>
          <w:tcPr>
            <w:tcW w:w="700" w:type="dxa"/>
            <w:tcMar>
              <w:top w:w="0" w:type="dxa"/>
              <w:bottom w:w="0" w:type="dxa"/>
            </w:tcMar>
            <w:vAlign w:val="center"/>
          </w:tcPr>
          <w:p w14:paraId="233E7919" w14:textId="77777777" w:rsidR="00D73FFE" w:rsidRDefault="00CF3905">
            <w:pPr>
              <w:keepNext/>
              <w:keepLines/>
              <w:spacing w:after="0" w:line="240" w:lineRule="auto"/>
            </w:pPr>
            <w:r>
              <w:rPr>
                <w:sz w:val="18"/>
              </w:rPr>
              <w:t>7</w:t>
            </w:r>
          </w:p>
        </w:tc>
        <w:tc>
          <w:tcPr>
            <w:tcW w:w="3180" w:type="dxa"/>
            <w:tcMar>
              <w:top w:w="0" w:type="dxa"/>
              <w:bottom w:w="0" w:type="dxa"/>
            </w:tcMar>
            <w:vAlign w:val="center"/>
          </w:tcPr>
          <w:p w14:paraId="2EB86802" w14:textId="77777777" w:rsidR="00D73FFE" w:rsidRDefault="00CF3905">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37AE9D8" w14:textId="77777777" w:rsidR="00D73FFE" w:rsidRDefault="00CF3905">
            <w:pPr>
              <w:keepNext/>
              <w:keepLines/>
              <w:spacing w:after="0" w:line="240" w:lineRule="auto"/>
            </w:pPr>
            <w:r>
              <w:rPr>
                <w:sz w:val="18"/>
              </w:rPr>
              <w:t>7</w:t>
            </w:r>
          </w:p>
        </w:tc>
        <w:tc>
          <w:tcPr>
            <w:tcW w:w="1860" w:type="dxa"/>
            <w:tcMar>
              <w:top w:w="0" w:type="dxa"/>
              <w:bottom w:w="0" w:type="dxa"/>
            </w:tcMar>
            <w:vAlign w:val="center"/>
          </w:tcPr>
          <w:p w14:paraId="4D69EA7F" w14:textId="77777777" w:rsidR="00D73FFE" w:rsidRDefault="00CF3905">
            <w:pPr>
              <w:keepNext/>
              <w:keepLines/>
              <w:spacing w:after="0" w:line="240" w:lineRule="auto"/>
              <w:jc w:val="right"/>
            </w:pPr>
            <w:r>
              <w:rPr>
                <w:sz w:val="18"/>
              </w:rPr>
              <w:t>0,00</w:t>
            </w:r>
          </w:p>
        </w:tc>
        <w:tc>
          <w:tcPr>
            <w:tcW w:w="1860" w:type="dxa"/>
            <w:tcMar>
              <w:top w:w="0" w:type="dxa"/>
              <w:bottom w:w="0" w:type="dxa"/>
            </w:tcMar>
            <w:vAlign w:val="center"/>
          </w:tcPr>
          <w:p w14:paraId="7355DAAF" w14:textId="77777777" w:rsidR="00D73FFE" w:rsidRDefault="00CF3905">
            <w:pPr>
              <w:keepNext/>
              <w:keepLines/>
              <w:spacing w:after="0" w:line="240" w:lineRule="auto"/>
              <w:jc w:val="right"/>
            </w:pPr>
            <w:r>
              <w:rPr>
                <w:sz w:val="18"/>
              </w:rPr>
              <w:t>0,00</w:t>
            </w:r>
          </w:p>
        </w:tc>
        <w:tc>
          <w:tcPr>
            <w:tcW w:w="700" w:type="dxa"/>
            <w:tcMar>
              <w:top w:w="0" w:type="dxa"/>
              <w:bottom w:w="0" w:type="dxa"/>
            </w:tcMar>
            <w:vAlign w:val="center"/>
          </w:tcPr>
          <w:p w14:paraId="3FB34F87" w14:textId="77777777" w:rsidR="00D73FFE" w:rsidRDefault="00CF3905">
            <w:pPr>
              <w:keepNext/>
              <w:keepLines/>
              <w:spacing w:after="0" w:line="240" w:lineRule="auto"/>
              <w:jc w:val="right"/>
            </w:pPr>
            <w:r>
              <w:rPr>
                <w:sz w:val="18"/>
              </w:rPr>
              <w:t>-</w:t>
            </w:r>
          </w:p>
        </w:tc>
      </w:tr>
      <w:tr w:rsidR="00D73FFE" w14:paraId="275164A5" w14:textId="77777777">
        <w:tblPrEx>
          <w:tblCellMar>
            <w:top w:w="0" w:type="dxa"/>
            <w:bottom w:w="0" w:type="dxa"/>
          </w:tblCellMar>
        </w:tblPrEx>
        <w:trPr>
          <w:cantSplit/>
          <w:trHeight w:val="560"/>
        </w:trPr>
        <w:tc>
          <w:tcPr>
            <w:tcW w:w="700" w:type="dxa"/>
            <w:tcMar>
              <w:top w:w="0" w:type="dxa"/>
              <w:bottom w:w="0" w:type="dxa"/>
            </w:tcMar>
            <w:vAlign w:val="center"/>
          </w:tcPr>
          <w:p w14:paraId="3712E615" w14:textId="77777777" w:rsidR="00D73FFE" w:rsidRDefault="00CF3905">
            <w:pPr>
              <w:keepNext/>
              <w:keepLines/>
              <w:spacing w:after="0" w:line="240" w:lineRule="auto"/>
            </w:pPr>
            <w:r>
              <w:rPr>
                <w:sz w:val="18"/>
              </w:rPr>
              <w:t>4</w:t>
            </w:r>
          </w:p>
        </w:tc>
        <w:tc>
          <w:tcPr>
            <w:tcW w:w="3180" w:type="dxa"/>
            <w:tcMar>
              <w:top w:w="0" w:type="dxa"/>
              <w:bottom w:w="0" w:type="dxa"/>
            </w:tcMar>
            <w:vAlign w:val="center"/>
          </w:tcPr>
          <w:p w14:paraId="6B1185D3" w14:textId="77777777" w:rsidR="00D73FFE" w:rsidRDefault="00CF3905">
            <w:pPr>
              <w:keepNext/>
              <w:keepLines/>
              <w:spacing w:after="0" w:line="240" w:lineRule="auto"/>
            </w:pPr>
            <w:r>
              <w:rPr>
                <w:sz w:val="18"/>
              </w:rPr>
              <w:t xml:space="preserve">Rashodi za nabavu nefinancijske imovine (šifre </w:t>
            </w:r>
            <w:r>
              <w:rPr>
                <w:sz w:val="18"/>
              </w:rPr>
              <w:t>41+42+43+44+45)</w:t>
            </w:r>
          </w:p>
        </w:tc>
        <w:tc>
          <w:tcPr>
            <w:tcW w:w="700" w:type="dxa"/>
            <w:tcMar>
              <w:top w:w="0" w:type="dxa"/>
              <w:bottom w:w="0" w:type="dxa"/>
            </w:tcMar>
            <w:vAlign w:val="center"/>
          </w:tcPr>
          <w:p w14:paraId="1A47D376" w14:textId="77777777" w:rsidR="00D73FFE" w:rsidRDefault="00CF3905">
            <w:pPr>
              <w:keepNext/>
              <w:keepLines/>
              <w:spacing w:after="0" w:line="240" w:lineRule="auto"/>
            </w:pPr>
            <w:r>
              <w:rPr>
                <w:sz w:val="18"/>
              </w:rPr>
              <w:t>4</w:t>
            </w:r>
          </w:p>
        </w:tc>
        <w:tc>
          <w:tcPr>
            <w:tcW w:w="1860" w:type="dxa"/>
            <w:tcMar>
              <w:top w:w="0" w:type="dxa"/>
              <w:bottom w:w="0" w:type="dxa"/>
            </w:tcMar>
            <w:vAlign w:val="center"/>
          </w:tcPr>
          <w:p w14:paraId="5088073F" w14:textId="77777777" w:rsidR="00D73FFE" w:rsidRDefault="00CF3905">
            <w:pPr>
              <w:keepNext/>
              <w:keepLines/>
              <w:spacing w:after="0" w:line="240" w:lineRule="auto"/>
              <w:jc w:val="right"/>
            </w:pPr>
            <w:r>
              <w:rPr>
                <w:sz w:val="18"/>
              </w:rPr>
              <w:t>10.676,31</w:t>
            </w:r>
          </w:p>
        </w:tc>
        <w:tc>
          <w:tcPr>
            <w:tcW w:w="1860" w:type="dxa"/>
            <w:tcMar>
              <w:top w:w="0" w:type="dxa"/>
              <w:bottom w:w="0" w:type="dxa"/>
            </w:tcMar>
            <w:vAlign w:val="center"/>
          </w:tcPr>
          <w:p w14:paraId="0D8ACA44" w14:textId="77777777" w:rsidR="00D73FFE" w:rsidRDefault="00CF3905">
            <w:pPr>
              <w:keepNext/>
              <w:keepLines/>
              <w:spacing w:after="0" w:line="240" w:lineRule="auto"/>
              <w:jc w:val="right"/>
            </w:pPr>
            <w:r>
              <w:rPr>
                <w:sz w:val="18"/>
              </w:rPr>
              <w:t>10.644,50</w:t>
            </w:r>
          </w:p>
        </w:tc>
        <w:tc>
          <w:tcPr>
            <w:tcW w:w="700" w:type="dxa"/>
            <w:tcMar>
              <w:top w:w="0" w:type="dxa"/>
              <w:bottom w:w="0" w:type="dxa"/>
            </w:tcMar>
            <w:vAlign w:val="center"/>
          </w:tcPr>
          <w:p w14:paraId="207E4608" w14:textId="77777777" w:rsidR="00D73FFE" w:rsidRDefault="00CF3905">
            <w:pPr>
              <w:keepNext/>
              <w:keepLines/>
              <w:spacing w:after="0" w:line="240" w:lineRule="auto"/>
              <w:jc w:val="right"/>
            </w:pPr>
            <w:r>
              <w:rPr>
                <w:sz w:val="18"/>
              </w:rPr>
              <w:t>99,7</w:t>
            </w:r>
          </w:p>
        </w:tc>
      </w:tr>
      <w:tr w:rsidR="00D73FFE" w14:paraId="3D347A71" w14:textId="77777777">
        <w:tblPrEx>
          <w:tblCellMar>
            <w:top w:w="0" w:type="dxa"/>
            <w:bottom w:w="0" w:type="dxa"/>
          </w:tblCellMar>
        </w:tblPrEx>
        <w:trPr>
          <w:cantSplit/>
          <w:trHeight w:val="560"/>
        </w:trPr>
        <w:tc>
          <w:tcPr>
            <w:tcW w:w="700" w:type="dxa"/>
            <w:tcMar>
              <w:top w:w="0" w:type="dxa"/>
              <w:bottom w:w="0" w:type="dxa"/>
            </w:tcMar>
            <w:vAlign w:val="center"/>
          </w:tcPr>
          <w:p w14:paraId="788EC935" w14:textId="77777777" w:rsidR="00D73FFE" w:rsidRDefault="00D73FFE">
            <w:pPr>
              <w:keepNext/>
              <w:keepLines/>
              <w:spacing w:after="0" w:line="240" w:lineRule="auto"/>
            </w:pPr>
          </w:p>
        </w:tc>
        <w:tc>
          <w:tcPr>
            <w:tcW w:w="3180" w:type="dxa"/>
            <w:tcMar>
              <w:top w:w="0" w:type="dxa"/>
              <w:bottom w:w="0" w:type="dxa"/>
            </w:tcMar>
            <w:vAlign w:val="center"/>
          </w:tcPr>
          <w:p w14:paraId="18C9EA19" w14:textId="77777777" w:rsidR="00D73FFE" w:rsidRDefault="00CF3905">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5266DAB" w14:textId="77777777" w:rsidR="00D73FFE" w:rsidRDefault="00CF3905">
            <w:pPr>
              <w:keepNext/>
              <w:keepLines/>
              <w:spacing w:after="0" w:line="240" w:lineRule="auto"/>
            </w:pPr>
            <w:r>
              <w:rPr>
                <w:b/>
                <w:sz w:val="18"/>
              </w:rPr>
              <w:t>Y002</w:t>
            </w:r>
          </w:p>
        </w:tc>
        <w:tc>
          <w:tcPr>
            <w:tcW w:w="1860" w:type="dxa"/>
            <w:tcMar>
              <w:top w:w="0" w:type="dxa"/>
              <w:bottom w:w="0" w:type="dxa"/>
            </w:tcMar>
            <w:vAlign w:val="center"/>
          </w:tcPr>
          <w:p w14:paraId="7E49EF84" w14:textId="77777777" w:rsidR="00D73FFE" w:rsidRDefault="00CF3905">
            <w:pPr>
              <w:keepNext/>
              <w:keepLines/>
              <w:spacing w:after="0" w:line="240" w:lineRule="auto"/>
              <w:jc w:val="right"/>
            </w:pPr>
            <w:r>
              <w:rPr>
                <w:b/>
                <w:sz w:val="18"/>
              </w:rPr>
              <w:t>10.676,31</w:t>
            </w:r>
          </w:p>
        </w:tc>
        <w:tc>
          <w:tcPr>
            <w:tcW w:w="1860" w:type="dxa"/>
            <w:tcMar>
              <w:top w:w="0" w:type="dxa"/>
              <w:bottom w:w="0" w:type="dxa"/>
            </w:tcMar>
            <w:vAlign w:val="center"/>
          </w:tcPr>
          <w:p w14:paraId="75769635" w14:textId="77777777" w:rsidR="00D73FFE" w:rsidRDefault="00CF3905">
            <w:pPr>
              <w:keepNext/>
              <w:keepLines/>
              <w:spacing w:after="0" w:line="240" w:lineRule="auto"/>
              <w:jc w:val="right"/>
            </w:pPr>
            <w:r>
              <w:rPr>
                <w:b/>
                <w:sz w:val="18"/>
              </w:rPr>
              <w:t>10.644,50</w:t>
            </w:r>
          </w:p>
        </w:tc>
        <w:tc>
          <w:tcPr>
            <w:tcW w:w="700" w:type="dxa"/>
            <w:tcMar>
              <w:top w:w="0" w:type="dxa"/>
              <w:bottom w:w="0" w:type="dxa"/>
            </w:tcMar>
            <w:vAlign w:val="center"/>
          </w:tcPr>
          <w:p w14:paraId="616D67D0" w14:textId="77777777" w:rsidR="00D73FFE" w:rsidRDefault="00CF3905">
            <w:pPr>
              <w:keepNext/>
              <w:keepLines/>
              <w:spacing w:after="0" w:line="240" w:lineRule="auto"/>
              <w:jc w:val="right"/>
            </w:pPr>
            <w:r>
              <w:rPr>
                <w:b/>
                <w:sz w:val="18"/>
              </w:rPr>
              <w:t>99,7</w:t>
            </w:r>
          </w:p>
        </w:tc>
      </w:tr>
      <w:tr w:rsidR="00D73FFE" w14:paraId="0AA1B2A1" w14:textId="77777777">
        <w:tblPrEx>
          <w:tblCellMar>
            <w:top w:w="0" w:type="dxa"/>
            <w:bottom w:w="0" w:type="dxa"/>
          </w:tblCellMar>
        </w:tblPrEx>
        <w:trPr>
          <w:cantSplit/>
          <w:trHeight w:val="560"/>
        </w:trPr>
        <w:tc>
          <w:tcPr>
            <w:tcW w:w="700" w:type="dxa"/>
            <w:tcMar>
              <w:top w:w="0" w:type="dxa"/>
              <w:bottom w:w="0" w:type="dxa"/>
            </w:tcMar>
            <w:vAlign w:val="center"/>
          </w:tcPr>
          <w:p w14:paraId="214A1FC3" w14:textId="77777777" w:rsidR="00D73FFE" w:rsidRDefault="00CF3905">
            <w:pPr>
              <w:keepNext/>
              <w:keepLines/>
              <w:spacing w:after="0" w:line="240" w:lineRule="auto"/>
            </w:pPr>
            <w:r>
              <w:rPr>
                <w:sz w:val="18"/>
              </w:rPr>
              <w:t>8</w:t>
            </w:r>
          </w:p>
        </w:tc>
        <w:tc>
          <w:tcPr>
            <w:tcW w:w="3180" w:type="dxa"/>
            <w:tcMar>
              <w:top w:w="0" w:type="dxa"/>
              <w:bottom w:w="0" w:type="dxa"/>
            </w:tcMar>
            <w:vAlign w:val="center"/>
          </w:tcPr>
          <w:p w14:paraId="33B14618" w14:textId="77777777" w:rsidR="00D73FFE" w:rsidRDefault="00CF3905">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2DAE0C9" w14:textId="77777777" w:rsidR="00D73FFE" w:rsidRDefault="00CF3905">
            <w:pPr>
              <w:keepNext/>
              <w:keepLines/>
              <w:spacing w:after="0" w:line="240" w:lineRule="auto"/>
            </w:pPr>
            <w:r>
              <w:rPr>
                <w:sz w:val="18"/>
              </w:rPr>
              <w:t>8</w:t>
            </w:r>
          </w:p>
        </w:tc>
        <w:tc>
          <w:tcPr>
            <w:tcW w:w="1860" w:type="dxa"/>
            <w:tcMar>
              <w:top w:w="0" w:type="dxa"/>
              <w:bottom w:w="0" w:type="dxa"/>
            </w:tcMar>
            <w:vAlign w:val="center"/>
          </w:tcPr>
          <w:p w14:paraId="11EE3F3C" w14:textId="77777777" w:rsidR="00D73FFE" w:rsidRDefault="00CF3905">
            <w:pPr>
              <w:keepNext/>
              <w:keepLines/>
              <w:spacing w:after="0" w:line="240" w:lineRule="auto"/>
              <w:jc w:val="right"/>
            </w:pPr>
            <w:r>
              <w:rPr>
                <w:sz w:val="18"/>
              </w:rPr>
              <w:t>0,00</w:t>
            </w:r>
          </w:p>
        </w:tc>
        <w:tc>
          <w:tcPr>
            <w:tcW w:w="1860" w:type="dxa"/>
            <w:tcMar>
              <w:top w:w="0" w:type="dxa"/>
              <w:bottom w:w="0" w:type="dxa"/>
            </w:tcMar>
            <w:vAlign w:val="center"/>
          </w:tcPr>
          <w:p w14:paraId="7BFCADD2" w14:textId="77777777" w:rsidR="00D73FFE" w:rsidRDefault="00CF3905">
            <w:pPr>
              <w:keepNext/>
              <w:keepLines/>
              <w:spacing w:after="0" w:line="240" w:lineRule="auto"/>
              <w:jc w:val="right"/>
            </w:pPr>
            <w:r>
              <w:rPr>
                <w:sz w:val="18"/>
              </w:rPr>
              <w:t>0,00</w:t>
            </w:r>
          </w:p>
        </w:tc>
        <w:tc>
          <w:tcPr>
            <w:tcW w:w="700" w:type="dxa"/>
            <w:tcMar>
              <w:top w:w="0" w:type="dxa"/>
              <w:bottom w:w="0" w:type="dxa"/>
            </w:tcMar>
            <w:vAlign w:val="center"/>
          </w:tcPr>
          <w:p w14:paraId="27A54701" w14:textId="77777777" w:rsidR="00D73FFE" w:rsidRDefault="00CF3905">
            <w:pPr>
              <w:keepNext/>
              <w:keepLines/>
              <w:spacing w:after="0" w:line="240" w:lineRule="auto"/>
              <w:jc w:val="right"/>
            </w:pPr>
            <w:r>
              <w:rPr>
                <w:sz w:val="18"/>
              </w:rPr>
              <w:t>-</w:t>
            </w:r>
          </w:p>
        </w:tc>
      </w:tr>
      <w:tr w:rsidR="00D73FFE" w14:paraId="72C27D77" w14:textId="77777777">
        <w:tblPrEx>
          <w:tblCellMar>
            <w:top w:w="0" w:type="dxa"/>
            <w:bottom w:w="0" w:type="dxa"/>
          </w:tblCellMar>
        </w:tblPrEx>
        <w:trPr>
          <w:cantSplit/>
          <w:trHeight w:val="560"/>
        </w:trPr>
        <w:tc>
          <w:tcPr>
            <w:tcW w:w="700" w:type="dxa"/>
            <w:tcMar>
              <w:top w:w="0" w:type="dxa"/>
              <w:bottom w:w="0" w:type="dxa"/>
            </w:tcMar>
            <w:vAlign w:val="center"/>
          </w:tcPr>
          <w:p w14:paraId="784E85FA" w14:textId="77777777" w:rsidR="00D73FFE" w:rsidRDefault="00CF3905">
            <w:pPr>
              <w:keepNext/>
              <w:keepLines/>
              <w:spacing w:after="0" w:line="240" w:lineRule="auto"/>
            </w:pPr>
            <w:r>
              <w:rPr>
                <w:sz w:val="18"/>
              </w:rPr>
              <w:t>5</w:t>
            </w:r>
          </w:p>
        </w:tc>
        <w:tc>
          <w:tcPr>
            <w:tcW w:w="3180" w:type="dxa"/>
            <w:tcMar>
              <w:top w:w="0" w:type="dxa"/>
              <w:bottom w:w="0" w:type="dxa"/>
            </w:tcMar>
            <w:vAlign w:val="center"/>
          </w:tcPr>
          <w:p w14:paraId="7776D090" w14:textId="77777777" w:rsidR="00D73FFE" w:rsidRDefault="00CF3905">
            <w:pPr>
              <w:keepNext/>
              <w:keepLines/>
              <w:spacing w:after="0" w:line="240" w:lineRule="auto"/>
            </w:pPr>
            <w:r>
              <w:rPr>
                <w:sz w:val="18"/>
              </w:rPr>
              <w:t xml:space="preserve">Izdaci za financijsku imovinu i </w:t>
            </w:r>
            <w:r>
              <w:rPr>
                <w:sz w:val="18"/>
              </w:rPr>
              <w:t>otplate zajmova (šifre 51+52+53+54+55)</w:t>
            </w:r>
          </w:p>
        </w:tc>
        <w:tc>
          <w:tcPr>
            <w:tcW w:w="700" w:type="dxa"/>
            <w:tcMar>
              <w:top w:w="0" w:type="dxa"/>
              <w:bottom w:w="0" w:type="dxa"/>
            </w:tcMar>
            <w:vAlign w:val="center"/>
          </w:tcPr>
          <w:p w14:paraId="242C112F" w14:textId="77777777" w:rsidR="00D73FFE" w:rsidRDefault="00CF3905">
            <w:pPr>
              <w:keepNext/>
              <w:keepLines/>
              <w:spacing w:after="0" w:line="240" w:lineRule="auto"/>
            </w:pPr>
            <w:r>
              <w:rPr>
                <w:sz w:val="18"/>
              </w:rPr>
              <w:t>5</w:t>
            </w:r>
          </w:p>
        </w:tc>
        <w:tc>
          <w:tcPr>
            <w:tcW w:w="1860" w:type="dxa"/>
            <w:tcMar>
              <w:top w:w="0" w:type="dxa"/>
              <w:bottom w:w="0" w:type="dxa"/>
            </w:tcMar>
            <w:vAlign w:val="center"/>
          </w:tcPr>
          <w:p w14:paraId="499C0F11" w14:textId="77777777" w:rsidR="00D73FFE" w:rsidRDefault="00CF3905">
            <w:pPr>
              <w:keepNext/>
              <w:keepLines/>
              <w:spacing w:after="0" w:line="240" w:lineRule="auto"/>
              <w:jc w:val="right"/>
            </w:pPr>
            <w:r>
              <w:rPr>
                <w:sz w:val="18"/>
              </w:rPr>
              <w:t>0,00</w:t>
            </w:r>
          </w:p>
        </w:tc>
        <w:tc>
          <w:tcPr>
            <w:tcW w:w="1860" w:type="dxa"/>
            <w:tcMar>
              <w:top w:w="0" w:type="dxa"/>
              <w:bottom w:w="0" w:type="dxa"/>
            </w:tcMar>
            <w:vAlign w:val="center"/>
          </w:tcPr>
          <w:p w14:paraId="02FAD499" w14:textId="77777777" w:rsidR="00D73FFE" w:rsidRDefault="00CF3905">
            <w:pPr>
              <w:keepNext/>
              <w:keepLines/>
              <w:spacing w:after="0" w:line="240" w:lineRule="auto"/>
              <w:jc w:val="right"/>
            </w:pPr>
            <w:r>
              <w:rPr>
                <w:sz w:val="18"/>
              </w:rPr>
              <w:t>0,00</w:t>
            </w:r>
          </w:p>
        </w:tc>
        <w:tc>
          <w:tcPr>
            <w:tcW w:w="700" w:type="dxa"/>
            <w:tcMar>
              <w:top w:w="0" w:type="dxa"/>
              <w:bottom w:w="0" w:type="dxa"/>
            </w:tcMar>
            <w:vAlign w:val="center"/>
          </w:tcPr>
          <w:p w14:paraId="6BBAA7C1" w14:textId="77777777" w:rsidR="00D73FFE" w:rsidRDefault="00CF3905">
            <w:pPr>
              <w:keepNext/>
              <w:keepLines/>
              <w:spacing w:after="0" w:line="240" w:lineRule="auto"/>
              <w:jc w:val="right"/>
            </w:pPr>
            <w:r>
              <w:rPr>
                <w:sz w:val="18"/>
              </w:rPr>
              <w:t>-</w:t>
            </w:r>
          </w:p>
        </w:tc>
      </w:tr>
      <w:tr w:rsidR="00D73FFE" w14:paraId="2755FE10" w14:textId="77777777">
        <w:tblPrEx>
          <w:tblCellMar>
            <w:top w:w="0" w:type="dxa"/>
            <w:bottom w:w="0" w:type="dxa"/>
          </w:tblCellMar>
        </w:tblPrEx>
        <w:trPr>
          <w:cantSplit/>
          <w:trHeight w:val="560"/>
        </w:trPr>
        <w:tc>
          <w:tcPr>
            <w:tcW w:w="700" w:type="dxa"/>
            <w:tcMar>
              <w:top w:w="0" w:type="dxa"/>
              <w:bottom w:w="0" w:type="dxa"/>
            </w:tcMar>
            <w:vAlign w:val="center"/>
          </w:tcPr>
          <w:p w14:paraId="2A5433CB" w14:textId="77777777" w:rsidR="00D73FFE" w:rsidRDefault="00D73FFE">
            <w:pPr>
              <w:keepNext/>
              <w:keepLines/>
              <w:spacing w:after="0" w:line="240" w:lineRule="auto"/>
            </w:pPr>
          </w:p>
        </w:tc>
        <w:tc>
          <w:tcPr>
            <w:tcW w:w="3180" w:type="dxa"/>
            <w:tcMar>
              <w:top w:w="0" w:type="dxa"/>
              <w:bottom w:w="0" w:type="dxa"/>
            </w:tcMar>
            <w:vAlign w:val="center"/>
          </w:tcPr>
          <w:p w14:paraId="7B53CC6F" w14:textId="77777777" w:rsidR="00D73FFE" w:rsidRDefault="00CF3905">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8D6A86C" w14:textId="77777777" w:rsidR="00D73FFE" w:rsidRDefault="00CF3905">
            <w:pPr>
              <w:keepNext/>
              <w:keepLines/>
              <w:spacing w:after="0" w:line="240" w:lineRule="auto"/>
            </w:pPr>
            <w:r>
              <w:rPr>
                <w:b/>
                <w:sz w:val="18"/>
              </w:rPr>
              <w:t>X003, Y003</w:t>
            </w:r>
          </w:p>
        </w:tc>
        <w:tc>
          <w:tcPr>
            <w:tcW w:w="1860" w:type="dxa"/>
            <w:tcMar>
              <w:top w:w="0" w:type="dxa"/>
              <w:bottom w:w="0" w:type="dxa"/>
            </w:tcMar>
            <w:vAlign w:val="center"/>
          </w:tcPr>
          <w:p w14:paraId="3E0818DE" w14:textId="77777777" w:rsidR="00D73FFE" w:rsidRDefault="00CF3905">
            <w:pPr>
              <w:keepNext/>
              <w:keepLines/>
              <w:spacing w:after="0" w:line="240" w:lineRule="auto"/>
              <w:jc w:val="right"/>
            </w:pPr>
            <w:r>
              <w:rPr>
                <w:b/>
                <w:sz w:val="18"/>
              </w:rPr>
              <w:t>0,00</w:t>
            </w:r>
          </w:p>
        </w:tc>
        <w:tc>
          <w:tcPr>
            <w:tcW w:w="1860" w:type="dxa"/>
            <w:tcMar>
              <w:top w:w="0" w:type="dxa"/>
              <w:bottom w:w="0" w:type="dxa"/>
            </w:tcMar>
            <w:vAlign w:val="center"/>
          </w:tcPr>
          <w:p w14:paraId="57AECA20" w14:textId="77777777" w:rsidR="00D73FFE" w:rsidRDefault="00CF3905">
            <w:pPr>
              <w:keepNext/>
              <w:keepLines/>
              <w:spacing w:after="0" w:line="240" w:lineRule="auto"/>
              <w:jc w:val="right"/>
            </w:pPr>
            <w:r>
              <w:rPr>
                <w:b/>
                <w:sz w:val="18"/>
              </w:rPr>
              <w:t>0,00</w:t>
            </w:r>
          </w:p>
        </w:tc>
        <w:tc>
          <w:tcPr>
            <w:tcW w:w="700" w:type="dxa"/>
            <w:tcMar>
              <w:top w:w="0" w:type="dxa"/>
              <w:bottom w:w="0" w:type="dxa"/>
            </w:tcMar>
            <w:vAlign w:val="center"/>
          </w:tcPr>
          <w:p w14:paraId="678D006B" w14:textId="77777777" w:rsidR="00D73FFE" w:rsidRDefault="00CF3905">
            <w:pPr>
              <w:keepNext/>
              <w:keepLines/>
              <w:spacing w:after="0" w:line="240" w:lineRule="auto"/>
              <w:jc w:val="right"/>
            </w:pPr>
            <w:r>
              <w:rPr>
                <w:b/>
                <w:sz w:val="18"/>
              </w:rPr>
              <w:t>-</w:t>
            </w:r>
          </w:p>
        </w:tc>
      </w:tr>
      <w:tr w:rsidR="00D73FFE" w14:paraId="1B4B88BC" w14:textId="77777777">
        <w:tblPrEx>
          <w:tblCellMar>
            <w:top w:w="0" w:type="dxa"/>
            <w:bottom w:w="0" w:type="dxa"/>
          </w:tblCellMar>
        </w:tblPrEx>
        <w:trPr>
          <w:cantSplit/>
          <w:trHeight w:val="560"/>
        </w:trPr>
        <w:tc>
          <w:tcPr>
            <w:tcW w:w="700" w:type="dxa"/>
            <w:tcMar>
              <w:top w:w="0" w:type="dxa"/>
              <w:bottom w:w="0" w:type="dxa"/>
            </w:tcMar>
            <w:vAlign w:val="center"/>
          </w:tcPr>
          <w:p w14:paraId="29006296" w14:textId="77777777" w:rsidR="00D73FFE" w:rsidRDefault="00D73FFE">
            <w:pPr>
              <w:keepNext/>
              <w:keepLines/>
              <w:spacing w:after="0" w:line="240" w:lineRule="auto"/>
            </w:pPr>
          </w:p>
        </w:tc>
        <w:tc>
          <w:tcPr>
            <w:tcW w:w="3180" w:type="dxa"/>
            <w:tcMar>
              <w:top w:w="0" w:type="dxa"/>
              <w:bottom w:w="0" w:type="dxa"/>
            </w:tcMar>
            <w:vAlign w:val="center"/>
          </w:tcPr>
          <w:p w14:paraId="0ED2E5DE" w14:textId="77777777" w:rsidR="00D73FFE" w:rsidRDefault="00CF3905">
            <w:pPr>
              <w:keepNext/>
              <w:keepLines/>
              <w:spacing w:after="0" w:line="240" w:lineRule="auto"/>
            </w:pPr>
            <w:r>
              <w:rPr>
                <w:b/>
                <w:sz w:val="18"/>
              </w:rPr>
              <w:t>MANJAK PRIHODA I PRIMITAKA (šifre Y345-X678)</w:t>
            </w:r>
          </w:p>
        </w:tc>
        <w:tc>
          <w:tcPr>
            <w:tcW w:w="700" w:type="dxa"/>
            <w:tcMar>
              <w:top w:w="0" w:type="dxa"/>
              <w:bottom w:w="0" w:type="dxa"/>
            </w:tcMar>
            <w:vAlign w:val="center"/>
          </w:tcPr>
          <w:p w14:paraId="4BC9332A" w14:textId="77777777" w:rsidR="00D73FFE" w:rsidRDefault="00CF3905">
            <w:pPr>
              <w:keepNext/>
              <w:keepLines/>
              <w:spacing w:after="0" w:line="240" w:lineRule="auto"/>
            </w:pPr>
            <w:r>
              <w:rPr>
                <w:b/>
                <w:sz w:val="18"/>
              </w:rPr>
              <w:t>Y005</w:t>
            </w:r>
          </w:p>
        </w:tc>
        <w:tc>
          <w:tcPr>
            <w:tcW w:w="1860" w:type="dxa"/>
            <w:tcMar>
              <w:top w:w="0" w:type="dxa"/>
              <w:bottom w:w="0" w:type="dxa"/>
            </w:tcMar>
            <w:vAlign w:val="center"/>
          </w:tcPr>
          <w:p w14:paraId="00BCB0F9" w14:textId="77777777" w:rsidR="00D73FFE" w:rsidRDefault="00CF3905">
            <w:pPr>
              <w:keepNext/>
              <w:keepLines/>
              <w:spacing w:after="0" w:line="240" w:lineRule="auto"/>
              <w:jc w:val="right"/>
            </w:pPr>
            <w:r>
              <w:rPr>
                <w:b/>
                <w:sz w:val="18"/>
              </w:rPr>
              <w:t>2.526,69</w:t>
            </w:r>
          </w:p>
        </w:tc>
        <w:tc>
          <w:tcPr>
            <w:tcW w:w="1860" w:type="dxa"/>
            <w:tcMar>
              <w:top w:w="0" w:type="dxa"/>
              <w:bottom w:w="0" w:type="dxa"/>
            </w:tcMar>
            <w:vAlign w:val="center"/>
          </w:tcPr>
          <w:p w14:paraId="61DDE459" w14:textId="77777777" w:rsidR="00D73FFE" w:rsidRDefault="00CF3905">
            <w:pPr>
              <w:keepNext/>
              <w:keepLines/>
              <w:spacing w:after="0" w:line="240" w:lineRule="auto"/>
              <w:jc w:val="right"/>
            </w:pPr>
            <w:r>
              <w:rPr>
                <w:b/>
                <w:sz w:val="18"/>
              </w:rPr>
              <w:t>64.836,10</w:t>
            </w:r>
          </w:p>
        </w:tc>
        <w:tc>
          <w:tcPr>
            <w:tcW w:w="700" w:type="dxa"/>
            <w:tcMar>
              <w:top w:w="0" w:type="dxa"/>
              <w:bottom w:w="0" w:type="dxa"/>
            </w:tcMar>
            <w:vAlign w:val="center"/>
          </w:tcPr>
          <w:p w14:paraId="188E0466" w14:textId="77777777" w:rsidR="00D73FFE" w:rsidRDefault="00CF3905">
            <w:pPr>
              <w:keepNext/>
              <w:keepLines/>
              <w:spacing w:after="0" w:line="240" w:lineRule="auto"/>
              <w:jc w:val="right"/>
            </w:pPr>
            <w:r>
              <w:rPr>
                <w:b/>
                <w:sz w:val="18"/>
              </w:rPr>
              <w:t>2566,0</w:t>
            </w:r>
          </w:p>
        </w:tc>
      </w:tr>
    </w:tbl>
    <w:p w14:paraId="3BC9594E" w14:textId="77777777" w:rsidR="00D73FFE" w:rsidRDefault="00D73FFE">
      <w:pPr>
        <w:spacing w:after="0"/>
      </w:pPr>
    </w:p>
    <w:p w14:paraId="3673EA57" w14:textId="77777777" w:rsidR="00D73FFE" w:rsidRDefault="00CF3905">
      <w:pPr>
        <w:jc w:val="both"/>
      </w:pPr>
      <w:r>
        <w:t>Osnovna škola Rogoznica u razdoblju od 01. siječnja do 31. prosinca 2025. godine ostvarila je ukupne prihode u iznosu 949.801,97 EUR (šifra 6), što je 12,5% više u odnosu na isto razdoblje prethodne godine. Ukupni rashodi poslovanja iznose 1.003.993,57 (ši</w:t>
      </w:r>
      <w:r>
        <w:t>fra 3), što je za 20,1% više u odnosu na isto razdoblje prethodne godine. Ukupni rashodi za nabavu nefinancijske imovine iznose 10.644,50 eura (šifra 4), što je za 0,3% manje u odnosu na isto razdoblje prethodne godine.  Bilježimo porast prihoda, ali i ras</w:t>
      </w:r>
      <w:r>
        <w:t xml:space="preserve">hoda zbog povećanja cijena materijalnih i ostalih rashoda poslovanja. Škola je ostvarila manjak prihoda i primitaka u </w:t>
      </w:r>
      <w:r>
        <w:lastRenderedPageBreak/>
        <w:t>iznosu od 64.836,10 EUR (šifra Y005). Manjak se odnosi na materijalne troškove zaposlenih i škole koji će biti plaćeni u siječnju 2026. go</w:t>
      </w:r>
      <w:r>
        <w:t>dine.</w:t>
      </w:r>
    </w:p>
    <w:p w14:paraId="17F1DFC1" w14:textId="77777777" w:rsidR="00D73FFE" w:rsidRDefault="00CF3905">
      <w:r>
        <w:br/>
      </w:r>
    </w:p>
    <w:p w14:paraId="3521A1EA" w14:textId="77777777" w:rsidR="00D73FFE" w:rsidRDefault="00CF3905">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6DD208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4D6DB0"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75F76B"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A18EBA"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ED3AA8" w14:textId="77777777" w:rsidR="00D73FFE" w:rsidRDefault="00CF39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F004A5" w14:textId="77777777" w:rsidR="00D73FFE" w:rsidRDefault="00CF39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EED79A" w14:textId="77777777" w:rsidR="00D73FFE" w:rsidRDefault="00CF3905">
            <w:pPr>
              <w:keepNext/>
              <w:keepLines/>
              <w:spacing w:after="0" w:line="240" w:lineRule="auto"/>
              <w:jc w:val="center"/>
            </w:pPr>
            <w:r>
              <w:rPr>
                <w:b/>
                <w:sz w:val="18"/>
              </w:rPr>
              <w:t>Indeks (%)</w:t>
            </w:r>
          </w:p>
        </w:tc>
      </w:tr>
      <w:tr w:rsidR="00D73FFE" w14:paraId="26EEBF04" w14:textId="77777777">
        <w:tblPrEx>
          <w:tblCellMar>
            <w:top w:w="0" w:type="dxa"/>
            <w:bottom w:w="0" w:type="dxa"/>
          </w:tblCellMar>
        </w:tblPrEx>
        <w:trPr>
          <w:cantSplit/>
          <w:trHeight w:val="560"/>
        </w:trPr>
        <w:tc>
          <w:tcPr>
            <w:tcW w:w="700" w:type="dxa"/>
            <w:tcMar>
              <w:top w:w="0" w:type="dxa"/>
              <w:bottom w:w="0" w:type="dxa"/>
            </w:tcMar>
            <w:vAlign w:val="center"/>
          </w:tcPr>
          <w:p w14:paraId="2D9C5936" w14:textId="77777777" w:rsidR="00D73FFE" w:rsidRDefault="00CF3905">
            <w:pPr>
              <w:keepNext/>
              <w:keepLines/>
              <w:spacing w:after="0" w:line="240" w:lineRule="auto"/>
            </w:pPr>
            <w:r>
              <w:rPr>
                <w:sz w:val="18"/>
              </w:rPr>
              <w:t>311</w:t>
            </w:r>
          </w:p>
        </w:tc>
        <w:tc>
          <w:tcPr>
            <w:tcW w:w="3180" w:type="dxa"/>
            <w:tcMar>
              <w:top w:w="0" w:type="dxa"/>
              <w:bottom w:w="0" w:type="dxa"/>
            </w:tcMar>
            <w:vAlign w:val="center"/>
          </w:tcPr>
          <w:p w14:paraId="62173047" w14:textId="77777777" w:rsidR="00D73FFE" w:rsidRDefault="00CF3905">
            <w:pPr>
              <w:keepNext/>
              <w:keepLines/>
              <w:spacing w:after="0" w:line="240" w:lineRule="auto"/>
            </w:pPr>
            <w:r>
              <w:rPr>
                <w:sz w:val="18"/>
              </w:rPr>
              <w:t>Plaće (bruto) (šifre 3111 do 3114)</w:t>
            </w:r>
          </w:p>
        </w:tc>
        <w:tc>
          <w:tcPr>
            <w:tcW w:w="700" w:type="dxa"/>
            <w:tcMar>
              <w:top w:w="0" w:type="dxa"/>
              <w:bottom w:w="0" w:type="dxa"/>
            </w:tcMar>
            <w:vAlign w:val="center"/>
          </w:tcPr>
          <w:p w14:paraId="2EA3EE75" w14:textId="77777777" w:rsidR="00D73FFE" w:rsidRDefault="00CF3905">
            <w:pPr>
              <w:keepNext/>
              <w:keepLines/>
              <w:spacing w:after="0" w:line="240" w:lineRule="auto"/>
            </w:pPr>
            <w:r>
              <w:rPr>
                <w:sz w:val="18"/>
              </w:rPr>
              <w:t>311</w:t>
            </w:r>
          </w:p>
        </w:tc>
        <w:tc>
          <w:tcPr>
            <w:tcW w:w="1860" w:type="dxa"/>
            <w:tcMar>
              <w:top w:w="0" w:type="dxa"/>
              <w:bottom w:w="0" w:type="dxa"/>
            </w:tcMar>
            <w:vAlign w:val="center"/>
          </w:tcPr>
          <w:p w14:paraId="61FFD019" w14:textId="77777777" w:rsidR="00D73FFE" w:rsidRDefault="00CF3905">
            <w:pPr>
              <w:keepNext/>
              <w:keepLines/>
              <w:spacing w:after="0" w:line="240" w:lineRule="auto"/>
              <w:jc w:val="right"/>
            </w:pPr>
            <w:r>
              <w:rPr>
                <w:sz w:val="18"/>
              </w:rPr>
              <w:t>528.089,40</w:t>
            </w:r>
          </w:p>
        </w:tc>
        <w:tc>
          <w:tcPr>
            <w:tcW w:w="1860" w:type="dxa"/>
            <w:tcMar>
              <w:top w:w="0" w:type="dxa"/>
              <w:bottom w:w="0" w:type="dxa"/>
            </w:tcMar>
            <w:vAlign w:val="center"/>
          </w:tcPr>
          <w:p w14:paraId="2DDF47DE" w14:textId="77777777" w:rsidR="00D73FFE" w:rsidRDefault="00CF3905">
            <w:pPr>
              <w:keepNext/>
              <w:keepLines/>
              <w:spacing w:after="0" w:line="240" w:lineRule="auto"/>
              <w:jc w:val="right"/>
            </w:pPr>
            <w:r>
              <w:rPr>
                <w:sz w:val="18"/>
              </w:rPr>
              <w:t>660.561,63</w:t>
            </w:r>
          </w:p>
        </w:tc>
        <w:tc>
          <w:tcPr>
            <w:tcW w:w="700" w:type="dxa"/>
            <w:tcMar>
              <w:top w:w="0" w:type="dxa"/>
              <w:bottom w:w="0" w:type="dxa"/>
            </w:tcMar>
            <w:vAlign w:val="center"/>
          </w:tcPr>
          <w:p w14:paraId="69D4E1FE" w14:textId="77777777" w:rsidR="00D73FFE" w:rsidRDefault="00CF3905">
            <w:pPr>
              <w:keepNext/>
              <w:keepLines/>
              <w:spacing w:after="0" w:line="240" w:lineRule="auto"/>
              <w:jc w:val="right"/>
            </w:pPr>
            <w:r>
              <w:rPr>
                <w:sz w:val="18"/>
              </w:rPr>
              <w:t>125,1</w:t>
            </w:r>
          </w:p>
        </w:tc>
      </w:tr>
    </w:tbl>
    <w:p w14:paraId="3022CBF4" w14:textId="77777777" w:rsidR="00D73FFE" w:rsidRDefault="00D73FFE">
      <w:pPr>
        <w:spacing w:after="0"/>
      </w:pPr>
    </w:p>
    <w:p w14:paraId="41F71EC4" w14:textId="77777777" w:rsidR="00D73FFE" w:rsidRDefault="00CF3905">
      <w:r>
        <w:t>Povećanje se odnosi na povećanje plaće zaposlenika.</w:t>
      </w:r>
    </w:p>
    <w:p w14:paraId="406417D9" w14:textId="77777777" w:rsidR="00D73FFE" w:rsidRDefault="00D73FFE"/>
    <w:p w14:paraId="5AF3C715" w14:textId="77777777" w:rsidR="00D73FFE" w:rsidRDefault="00CF3905">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40BD39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295602"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D55B5A"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1E5041"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F9AF2C" w14:textId="77777777" w:rsidR="00D73FFE" w:rsidRDefault="00CF39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C1F1A5" w14:textId="77777777" w:rsidR="00D73FFE" w:rsidRDefault="00CF39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60056F" w14:textId="77777777" w:rsidR="00D73FFE" w:rsidRDefault="00CF3905">
            <w:pPr>
              <w:keepNext/>
              <w:keepLines/>
              <w:spacing w:after="0" w:line="240" w:lineRule="auto"/>
              <w:jc w:val="center"/>
            </w:pPr>
            <w:r>
              <w:rPr>
                <w:b/>
                <w:sz w:val="18"/>
              </w:rPr>
              <w:t>Indeks (%)</w:t>
            </w:r>
          </w:p>
        </w:tc>
      </w:tr>
      <w:tr w:rsidR="00D73FFE" w14:paraId="17D51E68" w14:textId="77777777">
        <w:tblPrEx>
          <w:tblCellMar>
            <w:top w:w="0" w:type="dxa"/>
            <w:bottom w:w="0" w:type="dxa"/>
          </w:tblCellMar>
        </w:tblPrEx>
        <w:trPr>
          <w:cantSplit/>
          <w:trHeight w:val="560"/>
        </w:trPr>
        <w:tc>
          <w:tcPr>
            <w:tcW w:w="700" w:type="dxa"/>
            <w:tcMar>
              <w:top w:w="0" w:type="dxa"/>
              <w:bottom w:w="0" w:type="dxa"/>
            </w:tcMar>
            <w:vAlign w:val="center"/>
          </w:tcPr>
          <w:p w14:paraId="3654F7D0" w14:textId="77777777" w:rsidR="00D73FFE" w:rsidRDefault="00CF3905">
            <w:pPr>
              <w:keepNext/>
              <w:keepLines/>
              <w:spacing w:after="0" w:line="240" w:lineRule="auto"/>
            </w:pPr>
            <w:r>
              <w:rPr>
                <w:sz w:val="18"/>
              </w:rPr>
              <w:t>312</w:t>
            </w:r>
          </w:p>
        </w:tc>
        <w:tc>
          <w:tcPr>
            <w:tcW w:w="3180" w:type="dxa"/>
            <w:tcMar>
              <w:top w:w="0" w:type="dxa"/>
              <w:bottom w:w="0" w:type="dxa"/>
            </w:tcMar>
            <w:vAlign w:val="center"/>
          </w:tcPr>
          <w:p w14:paraId="74B3C57E" w14:textId="77777777" w:rsidR="00D73FFE" w:rsidRDefault="00CF3905">
            <w:pPr>
              <w:keepNext/>
              <w:keepLines/>
              <w:spacing w:after="0" w:line="240" w:lineRule="auto"/>
            </w:pPr>
            <w:r>
              <w:rPr>
                <w:sz w:val="18"/>
              </w:rPr>
              <w:t>Ostali rashodi za zaposlene</w:t>
            </w:r>
          </w:p>
        </w:tc>
        <w:tc>
          <w:tcPr>
            <w:tcW w:w="700" w:type="dxa"/>
            <w:tcMar>
              <w:top w:w="0" w:type="dxa"/>
              <w:bottom w:w="0" w:type="dxa"/>
            </w:tcMar>
            <w:vAlign w:val="center"/>
          </w:tcPr>
          <w:p w14:paraId="2FAC784C" w14:textId="77777777" w:rsidR="00D73FFE" w:rsidRDefault="00CF3905">
            <w:pPr>
              <w:keepNext/>
              <w:keepLines/>
              <w:spacing w:after="0" w:line="240" w:lineRule="auto"/>
            </w:pPr>
            <w:r>
              <w:rPr>
                <w:sz w:val="18"/>
              </w:rPr>
              <w:t>312</w:t>
            </w:r>
          </w:p>
        </w:tc>
        <w:tc>
          <w:tcPr>
            <w:tcW w:w="1860" w:type="dxa"/>
            <w:tcMar>
              <w:top w:w="0" w:type="dxa"/>
              <w:bottom w:w="0" w:type="dxa"/>
            </w:tcMar>
            <w:vAlign w:val="center"/>
          </w:tcPr>
          <w:p w14:paraId="068FC977" w14:textId="77777777" w:rsidR="00D73FFE" w:rsidRDefault="00CF3905">
            <w:pPr>
              <w:keepNext/>
              <w:keepLines/>
              <w:spacing w:after="0" w:line="240" w:lineRule="auto"/>
              <w:jc w:val="right"/>
            </w:pPr>
            <w:r>
              <w:rPr>
                <w:sz w:val="18"/>
              </w:rPr>
              <w:t>25.770,02</w:t>
            </w:r>
          </w:p>
        </w:tc>
        <w:tc>
          <w:tcPr>
            <w:tcW w:w="1860" w:type="dxa"/>
            <w:tcMar>
              <w:top w:w="0" w:type="dxa"/>
              <w:bottom w:w="0" w:type="dxa"/>
            </w:tcMar>
            <w:vAlign w:val="center"/>
          </w:tcPr>
          <w:p w14:paraId="55308324" w14:textId="77777777" w:rsidR="00D73FFE" w:rsidRDefault="00CF3905">
            <w:pPr>
              <w:keepNext/>
              <w:keepLines/>
              <w:spacing w:after="0" w:line="240" w:lineRule="auto"/>
              <w:jc w:val="right"/>
            </w:pPr>
            <w:r>
              <w:rPr>
                <w:sz w:val="18"/>
              </w:rPr>
              <w:t>28.956,71</w:t>
            </w:r>
          </w:p>
        </w:tc>
        <w:tc>
          <w:tcPr>
            <w:tcW w:w="700" w:type="dxa"/>
            <w:tcMar>
              <w:top w:w="0" w:type="dxa"/>
              <w:bottom w:w="0" w:type="dxa"/>
            </w:tcMar>
            <w:vAlign w:val="center"/>
          </w:tcPr>
          <w:p w14:paraId="4123DCA9" w14:textId="77777777" w:rsidR="00D73FFE" w:rsidRDefault="00CF3905">
            <w:pPr>
              <w:keepNext/>
              <w:keepLines/>
              <w:spacing w:after="0" w:line="240" w:lineRule="auto"/>
              <w:jc w:val="right"/>
            </w:pPr>
            <w:r>
              <w:rPr>
                <w:sz w:val="18"/>
              </w:rPr>
              <w:t>112,4</w:t>
            </w:r>
          </w:p>
        </w:tc>
      </w:tr>
    </w:tbl>
    <w:p w14:paraId="65FC3B8B" w14:textId="77777777" w:rsidR="00D73FFE" w:rsidRDefault="00D73FFE">
      <w:pPr>
        <w:spacing w:after="0"/>
      </w:pPr>
    </w:p>
    <w:p w14:paraId="18853371" w14:textId="77777777" w:rsidR="00D73FFE" w:rsidRDefault="00CF3905">
      <w:r>
        <w:t>Povećanje se odnosi na isplaćena materijalna prava zaposlenika.</w:t>
      </w:r>
    </w:p>
    <w:p w14:paraId="491337C3" w14:textId="77777777" w:rsidR="00D73FFE" w:rsidRDefault="00D73FFE"/>
    <w:p w14:paraId="014F1926" w14:textId="77777777" w:rsidR="00D73FFE" w:rsidRDefault="00CF3905">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62240F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846A18"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E709C4"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6E6A7D"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F7FF6C" w14:textId="77777777" w:rsidR="00D73FFE" w:rsidRDefault="00CF39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0EAD0C" w14:textId="77777777" w:rsidR="00D73FFE" w:rsidRDefault="00CF39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1184E4" w14:textId="77777777" w:rsidR="00D73FFE" w:rsidRDefault="00CF3905">
            <w:pPr>
              <w:keepNext/>
              <w:keepLines/>
              <w:spacing w:after="0" w:line="240" w:lineRule="auto"/>
              <w:jc w:val="center"/>
            </w:pPr>
            <w:r>
              <w:rPr>
                <w:b/>
                <w:sz w:val="18"/>
              </w:rPr>
              <w:t xml:space="preserve">Indeks </w:t>
            </w:r>
            <w:r>
              <w:rPr>
                <w:b/>
                <w:sz w:val="18"/>
              </w:rPr>
              <w:t>(%)</w:t>
            </w:r>
          </w:p>
        </w:tc>
      </w:tr>
      <w:tr w:rsidR="00D73FFE" w14:paraId="10AE0423" w14:textId="77777777">
        <w:tblPrEx>
          <w:tblCellMar>
            <w:top w:w="0" w:type="dxa"/>
            <w:bottom w:w="0" w:type="dxa"/>
          </w:tblCellMar>
        </w:tblPrEx>
        <w:trPr>
          <w:cantSplit/>
          <w:trHeight w:val="560"/>
        </w:trPr>
        <w:tc>
          <w:tcPr>
            <w:tcW w:w="700" w:type="dxa"/>
            <w:tcMar>
              <w:top w:w="0" w:type="dxa"/>
              <w:bottom w:w="0" w:type="dxa"/>
            </w:tcMar>
            <w:vAlign w:val="center"/>
          </w:tcPr>
          <w:p w14:paraId="1C6E829C" w14:textId="77777777" w:rsidR="00D73FFE" w:rsidRDefault="00CF3905">
            <w:pPr>
              <w:keepNext/>
              <w:keepLines/>
              <w:spacing w:after="0" w:line="240" w:lineRule="auto"/>
            </w:pPr>
            <w:r>
              <w:rPr>
                <w:sz w:val="18"/>
              </w:rPr>
              <w:t>321</w:t>
            </w:r>
          </w:p>
        </w:tc>
        <w:tc>
          <w:tcPr>
            <w:tcW w:w="3180" w:type="dxa"/>
            <w:tcMar>
              <w:top w:w="0" w:type="dxa"/>
              <w:bottom w:w="0" w:type="dxa"/>
            </w:tcMar>
            <w:vAlign w:val="center"/>
          </w:tcPr>
          <w:p w14:paraId="56955F01" w14:textId="77777777" w:rsidR="00D73FFE" w:rsidRDefault="00CF3905">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3B6A9C61" w14:textId="77777777" w:rsidR="00D73FFE" w:rsidRDefault="00CF3905">
            <w:pPr>
              <w:keepNext/>
              <w:keepLines/>
              <w:spacing w:after="0" w:line="240" w:lineRule="auto"/>
            </w:pPr>
            <w:r>
              <w:rPr>
                <w:sz w:val="18"/>
              </w:rPr>
              <w:t>321</w:t>
            </w:r>
          </w:p>
        </w:tc>
        <w:tc>
          <w:tcPr>
            <w:tcW w:w="1860" w:type="dxa"/>
            <w:tcMar>
              <w:top w:w="0" w:type="dxa"/>
              <w:bottom w:w="0" w:type="dxa"/>
            </w:tcMar>
            <w:vAlign w:val="center"/>
          </w:tcPr>
          <w:p w14:paraId="03FE081D" w14:textId="77777777" w:rsidR="00D73FFE" w:rsidRDefault="00CF3905">
            <w:pPr>
              <w:keepNext/>
              <w:keepLines/>
              <w:spacing w:after="0" w:line="240" w:lineRule="auto"/>
              <w:jc w:val="right"/>
            </w:pPr>
            <w:r>
              <w:rPr>
                <w:sz w:val="18"/>
              </w:rPr>
              <w:t>37.245,47</w:t>
            </w:r>
          </w:p>
        </w:tc>
        <w:tc>
          <w:tcPr>
            <w:tcW w:w="1860" w:type="dxa"/>
            <w:tcMar>
              <w:top w:w="0" w:type="dxa"/>
              <w:bottom w:w="0" w:type="dxa"/>
            </w:tcMar>
            <w:vAlign w:val="center"/>
          </w:tcPr>
          <w:p w14:paraId="4389EFF7" w14:textId="77777777" w:rsidR="00D73FFE" w:rsidRDefault="00CF3905">
            <w:pPr>
              <w:keepNext/>
              <w:keepLines/>
              <w:spacing w:after="0" w:line="240" w:lineRule="auto"/>
              <w:jc w:val="right"/>
            </w:pPr>
            <w:r>
              <w:rPr>
                <w:sz w:val="18"/>
              </w:rPr>
              <w:t>40.323,53</w:t>
            </w:r>
          </w:p>
        </w:tc>
        <w:tc>
          <w:tcPr>
            <w:tcW w:w="700" w:type="dxa"/>
            <w:tcMar>
              <w:top w:w="0" w:type="dxa"/>
              <w:bottom w:w="0" w:type="dxa"/>
            </w:tcMar>
            <w:vAlign w:val="center"/>
          </w:tcPr>
          <w:p w14:paraId="1DC7AFBF" w14:textId="77777777" w:rsidR="00D73FFE" w:rsidRDefault="00CF3905">
            <w:pPr>
              <w:keepNext/>
              <w:keepLines/>
              <w:spacing w:after="0" w:line="240" w:lineRule="auto"/>
              <w:jc w:val="right"/>
            </w:pPr>
            <w:r>
              <w:rPr>
                <w:sz w:val="18"/>
              </w:rPr>
              <w:t>108,3</w:t>
            </w:r>
          </w:p>
        </w:tc>
      </w:tr>
    </w:tbl>
    <w:p w14:paraId="7EE16CB5" w14:textId="77777777" w:rsidR="00D73FFE" w:rsidRDefault="00D73FFE">
      <w:pPr>
        <w:spacing w:after="0"/>
      </w:pPr>
    </w:p>
    <w:p w14:paraId="29144C39" w14:textId="77777777" w:rsidR="00D73FFE" w:rsidRDefault="00CF3905">
      <w:r>
        <w:t>Povećanje se odnosi najvećim dijelom na naknade za prijevoz zaposlenika, službena putovanja i stručna usavršavanja.</w:t>
      </w:r>
    </w:p>
    <w:p w14:paraId="0ABCF2EA" w14:textId="77777777" w:rsidR="00D73FFE" w:rsidRDefault="00D73FFE"/>
    <w:p w14:paraId="0DBFA412" w14:textId="77777777" w:rsidR="00D73FFE" w:rsidRDefault="00CF3905">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79FEDD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060EB3"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6E996E"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00F7D7"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30B5A5" w14:textId="77777777" w:rsidR="00D73FFE" w:rsidRDefault="00CF39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B539CF" w14:textId="77777777" w:rsidR="00D73FFE" w:rsidRDefault="00CF3905">
            <w:pPr>
              <w:keepNext/>
              <w:keepLines/>
              <w:spacing w:after="0" w:line="240" w:lineRule="auto"/>
              <w:jc w:val="center"/>
            </w:pPr>
            <w:r>
              <w:rPr>
                <w:b/>
                <w:sz w:val="18"/>
              </w:rPr>
              <w:t>Ostvareno u izvještajnom razdoblju te</w:t>
            </w:r>
            <w:r>
              <w:rPr>
                <w:b/>
                <w:sz w:val="18"/>
              </w:rPr>
              <w:t>kuće godine</w:t>
            </w:r>
          </w:p>
        </w:tc>
        <w:tc>
          <w:tcPr>
            <w:tcW w:w="700" w:type="dxa"/>
            <w:shd w:val="clear" w:color="auto" w:fill="E7F0F9"/>
            <w:tcMar>
              <w:top w:w="0" w:type="dxa"/>
              <w:bottom w:w="0" w:type="dxa"/>
            </w:tcMar>
            <w:vAlign w:val="center"/>
          </w:tcPr>
          <w:p w14:paraId="63777CE2" w14:textId="77777777" w:rsidR="00D73FFE" w:rsidRDefault="00CF3905">
            <w:pPr>
              <w:keepNext/>
              <w:keepLines/>
              <w:spacing w:after="0" w:line="240" w:lineRule="auto"/>
              <w:jc w:val="center"/>
            </w:pPr>
            <w:r>
              <w:rPr>
                <w:b/>
                <w:sz w:val="18"/>
              </w:rPr>
              <w:t>Indeks (%)</w:t>
            </w:r>
          </w:p>
        </w:tc>
      </w:tr>
      <w:tr w:rsidR="00D73FFE" w14:paraId="267FEF30" w14:textId="77777777">
        <w:tblPrEx>
          <w:tblCellMar>
            <w:top w:w="0" w:type="dxa"/>
            <w:bottom w:w="0" w:type="dxa"/>
          </w:tblCellMar>
        </w:tblPrEx>
        <w:trPr>
          <w:cantSplit/>
          <w:trHeight w:val="560"/>
        </w:trPr>
        <w:tc>
          <w:tcPr>
            <w:tcW w:w="700" w:type="dxa"/>
            <w:tcMar>
              <w:top w:w="0" w:type="dxa"/>
              <w:bottom w:w="0" w:type="dxa"/>
            </w:tcMar>
            <w:vAlign w:val="center"/>
          </w:tcPr>
          <w:p w14:paraId="417B5A83" w14:textId="77777777" w:rsidR="00D73FFE" w:rsidRDefault="00CF3905">
            <w:pPr>
              <w:keepNext/>
              <w:keepLines/>
              <w:spacing w:after="0" w:line="240" w:lineRule="auto"/>
            </w:pPr>
            <w:r>
              <w:rPr>
                <w:sz w:val="18"/>
              </w:rPr>
              <w:t>322</w:t>
            </w:r>
          </w:p>
        </w:tc>
        <w:tc>
          <w:tcPr>
            <w:tcW w:w="3180" w:type="dxa"/>
            <w:tcMar>
              <w:top w:w="0" w:type="dxa"/>
              <w:bottom w:w="0" w:type="dxa"/>
            </w:tcMar>
            <w:vAlign w:val="center"/>
          </w:tcPr>
          <w:p w14:paraId="344C2124" w14:textId="77777777" w:rsidR="00D73FFE" w:rsidRDefault="00CF3905">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67A03BD7" w14:textId="77777777" w:rsidR="00D73FFE" w:rsidRDefault="00CF3905">
            <w:pPr>
              <w:keepNext/>
              <w:keepLines/>
              <w:spacing w:after="0" w:line="240" w:lineRule="auto"/>
            </w:pPr>
            <w:r>
              <w:rPr>
                <w:sz w:val="18"/>
              </w:rPr>
              <w:t>322</w:t>
            </w:r>
          </w:p>
        </w:tc>
        <w:tc>
          <w:tcPr>
            <w:tcW w:w="1860" w:type="dxa"/>
            <w:tcMar>
              <w:top w:w="0" w:type="dxa"/>
              <w:bottom w:w="0" w:type="dxa"/>
            </w:tcMar>
            <w:vAlign w:val="center"/>
          </w:tcPr>
          <w:p w14:paraId="0924982D" w14:textId="77777777" w:rsidR="00D73FFE" w:rsidRDefault="00CF3905">
            <w:pPr>
              <w:keepNext/>
              <w:keepLines/>
              <w:spacing w:after="0" w:line="240" w:lineRule="auto"/>
              <w:jc w:val="right"/>
            </w:pPr>
            <w:r>
              <w:rPr>
                <w:sz w:val="18"/>
              </w:rPr>
              <w:t>54.310,24</w:t>
            </w:r>
          </w:p>
        </w:tc>
        <w:tc>
          <w:tcPr>
            <w:tcW w:w="1860" w:type="dxa"/>
            <w:tcMar>
              <w:top w:w="0" w:type="dxa"/>
              <w:bottom w:w="0" w:type="dxa"/>
            </w:tcMar>
            <w:vAlign w:val="center"/>
          </w:tcPr>
          <w:p w14:paraId="5BEEAD7E" w14:textId="77777777" w:rsidR="00D73FFE" w:rsidRDefault="00CF3905">
            <w:pPr>
              <w:keepNext/>
              <w:keepLines/>
              <w:spacing w:after="0" w:line="240" w:lineRule="auto"/>
              <w:jc w:val="right"/>
            </w:pPr>
            <w:r>
              <w:rPr>
                <w:sz w:val="18"/>
              </w:rPr>
              <w:t>50.105,06</w:t>
            </w:r>
          </w:p>
        </w:tc>
        <w:tc>
          <w:tcPr>
            <w:tcW w:w="700" w:type="dxa"/>
            <w:tcMar>
              <w:top w:w="0" w:type="dxa"/>
              <w:bottom w:w="0" w:type="dxa"/>
            </w:tcMar>
            <w:vAlign w:val="center"/>
          </w:tcPr>
          <w:p w14:paraId="6E82AEFC" w14:textId="77777777" w:rsidR="00D73FFE" w:rsidRDefault="00CF3905">
            <w:pPr>
              <w:keepNext/>
              <w:keepLines/>
              <w:spacing w:after="0" w:line="240" w:lineRule="auto"/>
              <w:jc w:val="right"/>
            </w:pPr>
            <w:r>
              <w:rPr>
                <w:sz w:val="18"/>
              </w:rPr>
              <w:t>92,3</w:t>
            </w:r>
          </w:p>
        </w:tc>
      </w:tr>
    </w:tbl>
    <w:p w14:paraId="1507BECF" w14:textId="77777777" w:rsidR="00D73FFE" w:rsidRDefault="00D73FFE">
      <w:pPr>
        <w:spacing w:after="0"/>
      </w:pPr>
    </w:p>
    <w:p w14:paraId="652FD1C8" w14:textId="77777777" w:rsidR="00D73FFE" w:rsidRDefault="00CF3905">
      <w:r>
        <w:t>Smanjenje se odnosi najvećim dijelom na materijal i dijelove za tekuće i investicijsko poslovanje.</w:t>
      </w:r>
    </w:p>
    <w:p w14:paraId="768FC38A" w14:textId="77777777" w:rsidR="00D73FFE" w:rsidRDefault="00D73FFE"/>
    <w:p w14:paraId="044D75D4" w14:textId="77777777" w:rsidR="00D73FFE" w:rsidRDefault="00CF3905">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631124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AE00B0"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5D1C07"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092C4F"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F59E9A" w14:textId="77777777" w:rsidR="00D73FFE" w:rsidRDefault="00CF39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D253DC" w14:textId="77777777" w:rsidR="00D73FFE" w:rsidRDefault="00CF39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E7F790" w14:textId="77777777" w:rsidR="00D73FFE" w:rsidRDefault="00CF3905">
            <w:pPr>
              <w:keepNext/>
              <w:keepLines/>
              <w:spacing w:after="0" w:line="240" w:lineRule="auto"/>
              <w:jc w:val="center"/>
            </w:pPr>
            <w:r>
              <w:rPr>
                <w:b/>
                <w:sz w:val="18"/>
              </w:rPr>
              <w:t>Indeks (%)</w:t>
            </w:r>
          </w:p>
        </w:tc>
      </w:tr>
      <w:tr w:rsidR="00D73FFE" w14:paraId="391BB280" w14:textId="77777777">
        <w:tblPrEx>
          <w:tblCellMar>
            <w:top w:w="0" w:type="dxa"/>
            <w:bottom w:w="0" w:type="dxa"/>
          </w:tblCellMar>
        </w:tblPrEx>
        <w:trPr>
          <w:cantSplit/>
          <w:trHeight w:val="560"/>
        </w:trPr>
        <w:tc>
          <w:tcPr>
            <w:tcW w:w="700" w:type="dxa"/>
            <w:tcMar>
              <w:top w:w="0" w:type="dxa"/>
              <w:bottom w:w="0" w:type="dxa"/>
            </w:tcMar>
            <w:vAlign w:val="center"/>
          </w:tcPr>
          <w:p w14:paraId="23B536BB" w14:textId="77777777" w:rsidR="00D73FFE" w:rsidRDefault="00CF3905">
            <w:pPr>
              <w:keepNext/>
              <w:keepLines/>
              <w:spacing w:after="0" w:line="240" w:lineRule="auto"/>
            </w:pPr>
            <w:r>
              <w:rPr>
                <w:sz w:val="18"/>
              </w:rPr>
              <w:t>3237</w:t>
            </w:r>
          </w:p>
        </w:tc>
        <w:tc>
          <w:tcPr>
            <w:tcW w:w="3180" w:type="dxa"/>
            <w:tcMar>
              <w:top w:w="0" w:type="dxa"/>
              <w:bottom w:w="0" w:type="dxa"/>
            </w:tcMar>
            <w:vAlign w:val="center"/>
          </w:tcPr>
          <w:p w14:paraId="7A016C29" w14:textId="77777777" w:rsidR="00D73FFE" w:rsidRDefault="00CF3905">
            <w:pPr>
              <w:keepNext/>
              <w:keepLines/>
              <w:spacing w:after="0" w:line="240" w:lineRule="auto"/>
            </w:pPr>
            <w:r>
              <w:rPr>
                <w:sz w:val="18"/>
              </w:rPr>
              <w:t>Intelektualne i osobne usluge</w:t>
            </w:r>
          </w:p>
        </w:tc>
        <w:tc>
          <w:tcPr>
            <w:tcW w:w="700" w:type="dxa"/>
            <w:tcMar>
              <w:top w:w="0" w:type="dxa"/>
              <w:bottom w:w="0" w:type="dxa"/>
            </w:tcMar>
            <w:vAlign w:val="center"/>
          </w:tcPr>
          <w:p w14:paraId="239F64FF" w14:textId="77777777" w:rsidR="00D73FFE" w:rsidRDefault="00CF3905">
            <w:pPr>
              <w:keepNext/>
              <w:keepLines/>
              <w:spacing w:after="0" w:line="240" w:lineRule="auto"/>
            </w:pPr>
            <w:r>
              <w:rPr>
                <w:sz w:val="18"/>
              </w:rPr>
              <w:t>3237</w:t>
            </w:r>
          </w:p>
        </w:tc>
        <w:tc>
          <w:tcPr>
            <w:tcW w:w="1860" w:type="dxa"/>
            <w:tcMar>
              <w:top w:w="0" w:type="dxa"/>
              <w:bottom w:w="0" w:type="dxa"/>
            </w:tcMar>
            <w:vAlign w:val="center"/>
          </w:tcPr>
          <w:p w14:paraId="34F2471B" w14:textId="77777777" w:rsidR="00D73FFE" w:rsidRDefault="00CF3905">
            <w:pPr>
              <w:keepNext/>
              <w:keepLines/>
              <w:spacing w:after="0" w:line="240" w:lineRule="auto"/>
              <w:jc w:val="right"/>
            </w:pPr>
            <w:r>
              <w:rPr>
                <w:sz w:val="18"/>
              </w:rPr>
              <w:t>0,00</w:t>
            </w:r>
          </w:p>
        </w:tc>
        <w:tc>
          <w:tcPr>
            <w:tcW w:w="1860" w:type="dxa"/>
            <w:tcMar>
              <w:top w:w="0" w:type="dxa"/>
              <w:bottom w:w="0" w:type="dxa"/>
            </w:tcMar>
            <w:vAlign w:val="center"/>
          </w:tcPr>
          <w:p w14:paraId="4D9EA0B0" w14:textId="77777777" w:rsidR="00D73FFE" w:rsidRDefault="00CF3905">
            <w:pPr>
              <w:keepNext/>
              <w:keepLines/>
              <w:spacing w:after="0" w:line="240" w:lineRule="auto"/>
              <w:jc w:val="right"/>
            </w:pPr>
            <w:r>
              <w:rPr>
                <w:sz w:val="18"/>
              </w:rPr>
              <w:t>2.312,50</w:t>
            </w:r>
          </w:p>
        </w:tc>
        <w:tc>
          <w:tcPr>
            <w:tcW w:w="700" w:type="dxa"/>
            <w:tcMar>
              <w:top w:w="0" w:type="dxa"/>
              <w:bottom w:w="0" w:type="dxa"/>
            </w:tcMar>
            <w:vAlign w:val="center"/>
          </w:tcPr>
          <w:p w14:paraId="59875D86" w14:textId="77777777" w:rsidR="00D73FFE" w:rsidRDefault="00CF3905">
            <w:pPr>
              <w:keepNext/>
              <w:keepLines/>
              <w:spacing w:after="0" w:line="240" w:lineRule="auto"/>
              <w:jc w:val="right"/>
            </w:pPr>
            <w:r>
              <w:rPr>
                <w:sz w:val="18"/>
              </w:rPr>
              <w:t>-</w:t>
            </w:r>
          </w:p>
        </w:tc>
      </w:tr>
    </w:tbl>
    <w:p w14:paraId="769BA3A6" w14:textId="77777777" w:rsidR="00D73FFE" w:rsidRDefault="00D73FFE">
      <w:pPr>
        <w:spacing w:after="0"/>
      </w:pPr>
    </w:p>
    <w:p w14:paraId="4BE21EA0" w14:textId="77777777" w:rsidR="00D73FFE" w:rsidRDefault="00CF3905">
      <w:r>
        <w:t>Povećanje se odnosi na uslugu izrade postojećeg stanja i analize rizika i izrada plana sigurnosti.</w:t>
      </w:r>
    </w:p>
    <w:p w14:paraId="3CBDBBC3" w14:textId="77777777" w:rsidR="00D73FFE" w:rsidRDefault="00D73FFE"/>
    <w:p w14:paraId="55D9074C" w14:textId="77777777" w:rsidR="00D73FFE" w:rsidRDefault="00CF3905">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035DDA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F9D830"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E75A4A"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7FB336"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0ADF6E" w14:textId="77777777" w:rsidR="00D73FFE" w:rsidRDefault="00CF39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2A5D5F" w14:textId="77777777" w:rsidR="00D73FFE" w:rsidRDefault="00CF39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4CDA42" w14:textId="77777777" w:rsidR="00D73FFE" w:rsidRDefault="00CF3905">
            <w:pPr>
              <w:keepNext/>
              <w:keepLines/>
              <w:spacing w:after="0" w:line="240" w:lineRule="auto"/>
              <w:jc w:val="center"/>
            </w:pPr>
            <w:r>
              <w:rPr>
                <w:b/>
                <w:sz w:val="18"/>
              </w:rPr>
              <w:t>Indek</w:t>
            </w:r>
            <w:r>
              <w:rPr>
                <w:b/>
                <w:sz w:val="18"/>
              </w:rPr>
              <w:t>s (%)</w:t>
            </w:r>
          </w:p>
        </w:tc>
      </w:tr>
      <w:tr w:rsidR="00D73FFE" w14:paraId="427421C6" w14:textId="77777777">
        <w:tblPrEx>
          <w:tblCellMar>
            <w:top w:w="0" w:type="dxa"/>
            <w:bottom w:w="0" w:type="dxa"/>
          </w:tblCellMar>
        </w:tblPrEx>
        <w:trPr>
          <w:cantSplit/>
          <w:trHeight w:val="560"/>
        </w:trPr>
        <w:tc>
          <w:tcPr>
            <w:tcW w:w="700" w:type="dxa"/>
            <w:tcMar>
              <w:top w:w="0" w:type="dxa"/>
              <w:bottom w:w="0" w:type="dxa"/>
            </w:tcMar>
            <w:vAlign w:val="center"/>
          </w:tcPr>
          <w:p w14:paraId="42873BF9" w14:textId="77777777" w:rsidR="00D73FFE" w:rsidRDefault="00CF3905">
            <w:pPr>
              <w:keepNext/>
              <w:keepLines/>
              <w:spacing w:after="0" w:line="240" w:lineRule="auto"/>
            </w:pPr>
            <w:r>
              <w:rPr>
                <w:sz w:val="18"/>
              </w:rPr>
              <w:t>3239</w:t>
            </w:r>
          </w:p>
        </w:tc>
        <w:tc>
          <w:tcPr>
            <w:tcW w:w="3180" w:type="dxa"/>
            <w:tcMar>
              <w:top w:w="0" w:type="dxa"/>
              <w:bottom w:w="0" w:type="dxa"/>
            </w:tcMar>
            <w:vAlign w:val="center"/>
          </w:tcPr>
          <w:p w14:paraId="59149A92" w14:textId="77777777" w:rsidR="00D73FFE" w:rsidRDefault="00CF3905">
            <w:pPr>
              <w:keepNext/>
              <w:keepLines/>
              <w:spacing w:after="0" w:line="240" w:lineRule="auto"/>
            </w:pPr>
            <w:r>
              <w:rPr>
                <w:sz w:val="18"/>
              </w:rPr>
              <w:t>Ostale usluge</w:t>
            </w:r>
          </w:p>
        </w:tc>
        <w:tc>
          <w:tcPr>
            <w:tcW w:w="700" w:type="dxa"/>
            <w:tcMar>
              <w:top w:w="0" w:type="dxa"/>
              <w:bottom w:w="0" w:type="dxa"/>
            </w:tcMar>
            <w:vAlign w:val="center"/>
          </w:tcPr>
          <w:p w14:paraId="067AA816" w14:textId="77777777" w:rsidR="00D73FFE" w:rsidRDefault="00CF3905">
            <w:pPr>
              <w:keepNext/>
              <w:keepLines/>
              <w:spacing w:after="0" w:line="240" w:lineRule="auto"/>
            </w:pPr>
            <w:r>
              <w:rPr>
                <w:sz w:val="18"/>
              </w:rPr>
              <w:t>3239</w:t>
            </w:r>
          </w:p>
        </w:tc>
        <w:tc>
          <w:tcPr>
            <w:tcW w:w="1860" w:type="dxa"/>
            <w:tcMar>
              <w:top w:w="0" w:type="dxa"/>
              <w:bottom w:w="0" w:type="dxa"/>
            </w:tcMar>
            <w:vAlign w:val="center"/>
          </w:tcPr>
          <w:p w14:paraId="2A8F0DB0" w14:textId="77777777" w:rsidR="00D73FFE" w:rsidRDefault="00CF3905">
            <w:pPr>
              <w:keepNext/>
              <w:keepLines/>
              <w:spacing w:after="0" w:line="240" w:lineRule="auto"/>
              <w:jc w:val="right"/>
            </w:pPr>
            <w:r>
              <w:rPr>
                <w:sz w:val="18"/>
              </w:rPr>
              <w:t>1.701,07</w:t>
            </w:r>
          </w:p>
        </w:tc>
        <w:tc>
          <w:tcPr>
            <w:tcW w:w="1860" w:type="dxa"/>
            <w:tcMar>
              <w:top w:w="0" w:type="dxa"/>
              <w:bottom w:w="0" w:type="dxa"/>
            </w:tcMar>
            <w:vAlign w:val="center"/>
          </w:tcPr>
          <w:p w14:paraId="4D0CED88" w14:textId="77777777" w:rsidR="00D73FFE" w:rsidRDefault="00CF3905">
            <w:pPr>
              <w:keepNext/>
              <w:keepLines/>
              <w:spacing w:after="0" w:line="240" w:lineRule="auto"/>
              <w:jc w:val="right"/>
            </w:pPr>
            <w:r>
              <w:rPr>
                <w:sz w:val="18"/>
              </w:rPr>
              <w:t>2.444,37</w:t>
            </w:r>
          </w:p>
        </w:tc>
        <w:tc>
          <w:tcPr>
            <w:tcW w:w="700" w:type="dxa"/>
            <w:tcMar>
              <w:top w:w="0" w:type="dxa"/>
              <w:bottom w:w="0" w:type="dxa"/>
            </w:tcMar>
            <w:vAlign w:val="center"/>
          </w:tcPr>
          <w:p w14:paraId="04015706" w14:textId="77777777" w:rsidR="00D73FFE" w:rsidRDefault="00CF3905">
            <w:pPr>
              <w:keepNext/>
              <w:keepLines/>
              <w:spacing w:after="0" w:line="240" w:lineRule="auto"/>
              <w:jc w:val="right"/>
            </w:pPr>
            <w:r>
              <w:rPr>
                <w:sz w:val="18"/>
              </w:rPr>
              <w:t>143,7</w:t>
            </w:r>
          </w:p>
        </w:tc>
      </w:tr>
    </w:tbl>
    <w:p w14:paraId="7C40834A" w14:textId="77777777" w:rsidR="00D73FFE" w:rsidRDefault="00D73FFE">
      <w:pPr>
        <w:spacing w:after="0"/>
      </w:pPr>
    </w:p>
    <w:p w14:paraId="51F9B055" w14:textId="77777777" w:rsidR="00D73FFE" w:rsidRDefault="00CF3905">
      <w:r>
        <w:t>Povećanje se odnosi na uslugu izrade procjene rizika kućne vodoopskrbne mreže.</w:t>
      </w:r>
    </w:p>
    <w:p w14:paraId="72EE8FDB" w14:textId="77777777" w:rsidR="00D73FFE" w:rsidRDefault="00D73FFE"/>
    <w:p w14:paraId="4511C2BD" w14:textId="77777777" w:rsidR="00D73FFE" w:rsidRDefault="00CF3905">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31F641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68A201"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1BD5EF"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EAF5F0"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E9AFEF" w14:textId="77777777" w:rsidR="00D73FFE" w:rsidRDefault="00CF39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0F430E" w14:textId="77777777" w:rsidR="00D73FFE" w:rsidRDefault="00CF39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8C6B1D" w14:textId="77777777" w:rsidR="00D73FFE" w:rsidRDefault="00CF3905">
            <w:pPr>
              <w:keepNext/>
              <w:keepLines/>
              <w:spacing w:after="0" w:line="240" w:lineRule="auto"/>
              <w:jc w:val="center"/>
            </w:pPr>
            <w:r>
              <w:rPr>
                <w:b/>
                <w:sz w:val="18"/>
              </w:rPr>
              <w:t>Indeks (%)</w:t>
            </w:r>
          </w:p>
        </w:tc>
      </w:tr>
      <w:tr w:rsidR="00D73FFE" w14:paraId="444C4D1E" w14:textId="77777777">
        <w:tblPrEx>
          <w:tblCellMar>
            <w:top w:w="0" w:type="dxa"/>
            <w:bottom w:w="0" w:type="dxa"/>
          </w:tblCellMar>
        </w:tblPrEx>
        <w:trPr>
          <w:cantSplit/>
          <w:trHeight w:val="560"/>
        </w:trPr>
        <w:tc>
          <w:tcPr>
            <w:tcW w:w="700" w:type="dxa"/>
            <w:tcMar>
              <w:top w:w="0" w:type="dxa"/>
              <w:bottom w:w="0" w:type="dxa"/>
            </w:tcMar>
            <w:vAlign w:val="center"/>
          </w:tcPr>
          <w:p w14:paraId="4F408E56" w14:textId="77777777" w:rsidR="00D73FFE" w:rsidRDefault="00CF3905">
            <w:pPr>
              <w:keepNext/>
              <w:keepLines/>
              <w:spacing w:after="0" w:line="240" w:lineRule="auto"/>
            </w:pPr>
            <w:r>
              <w:rPr>
                <w:sz w:val="18"/>
              </w:rPr>
              <w:t>3299</w:t>
            </w:r>
          </w:p>
        </w:tc>
        <w:tc>
          <w:tcPr>
            <w:tcW w:w="3180" w:type="dxa"/>
            <w:tcMar>
              <w:top w:w="0" w:type="dxa"/>
              <w:bottom w:w="0" w:type="dxa"/>
            </w:tcMar>
            <w:vAlign w:val="center"/>
          </w:tcPr>
          <w:p w14:paraId="7AA152B4" w14:textId="77777777" w:rsidR="00D73FFE" w:rsidRDefault="00CF3905">
            <w:pPr>
              <w:keepNext/>
              <w:keepLines/>
              <w:spacing w:after="0" w:line="240" w:lineRule="auto"/>
            </w:pPr>
            <w:r>
              <w:rPr>
                <w:sz w:val="18"/>
              </w:rPr>
              <w:t>Ostali nespomenuti rashodi poslovanja</w:t>
            </w:r>
          </w:p>
        </w:tc>
        <w:tc>
          <w:tcPr>
            <w:tcW w:w="700" w:type="dxa"/>
            <w:tcMar>
              <w:top w:w="0" w:type="dxa"/>
              <w:bottom w:w="0" w:type="dxa"/>
            </w:tcMar>
            <w:vAlign w:val="center"/>
          </w:tcPr>
          <w:p w14:paraId="19EEBEF3" w14:textId="77777777" w:rsidR="00D73FFE" w:rsidRDefault="00CF3905">
            <w:pPr>
              <w:keepNext/>
              <w:keepLines/>
              <w:spacing w:after="0" w:line="240" w:lineRule="auto"/>
            </w:pPr>
            <w:r>
              <w:rPr>
                <w:sz w:val="18"/>
              </w:rPr>
              <w:t>3299</w:t>
            </w:r>
          </w:p>
        </w:tc>
        <w:tc>
          <w:tcPr>
            <w:tcW w:w="1860" w:type="dxa"/>
            <w:tcMar>
              <w:top w:w="0" w:type="dxa"/>
              <w:bottom w:w="0" w:type="dxa"/>
            </w:tcMar>
            <w:vAlign w:val="center"/>
          </w:tcPr>
          <w:p w14:paraId="772037FB" w14:textId="77777777" w:rsidR="00D73FFE" w:rsidRDefault="00CF3905">
            <w:pPr>
              <w:keepNext/>
              <w:keepLines/>
              <w:spacing w:after="0" w:line="240" w:lineRule="auto"/>
              <w:jc w:val="right"/>
            </w:pPr>
            <w:r>
              <w:rPr>
                <w:sz w:val="18"/>
              </w:rPr>
              <w:t>1.020,69</w:t>
            </w:r>
          </w:p>
        </w:tc>
        <w:tc>
          <w:tcPr>
            <w:tcW w:w="1860" w:type="dxa"/>
            <w:tcMar>
              <w:top w:w="0" w:type="dxa"/>
              <w:bottom w:w="0" w:type="dxa"/>
            </w:tcMar>
            <w:vAlign w:val="center"/>
          </w:tcPr>
          <w:p w14:paraId="2A1091DE" w14:textId="77777777" w:rsidR="00D73FFE" w:rsidRDefault="00CF3905">
            <w:pPr>
              <w:keepNext/>
              <w:keepLines/>
              <w:spacing w:after="0" w:line="240" w:lineRule="auto"/>
              <w:jc w:val="right"/>
            </w:pPr>
            <w:r>
              <w:rPr>
                <w:sz w:val="18"/>
              </w:rPr>
              <w:t>4.293,24</w:t>
            </w:r>
          </w:p>
        </w:tc>
        <w:tc>
          <w:tcPr>
            <w:tcW w:w="700" w:type="dxa"/>
            <w:tcMar>
              <w:top w:w="0" w:type="dxa"/>
              <w:bottom w:w="0" w:type="dxa"/>
            </w:tcMar>
            <w:vAlign w:val="center"/>
          </w:tcPr>
          <w:p w14:paraId="58B8CAE3" w14:textId="77777777" w:rsidR="00D73FFE" w:rsidRDefault="00CF3905">
            <w:pPr>
              <w:keepNext/>
              <w:keepLines/>
              <w:spacing w:after="0" w:line="240" w:lineRule="auto"/>
              <w:jc w:val="right"/>
            </w:pPr>
            <w:r>
              <w:rPr>
                <w:sz w:val="18"/>
              </w:rPr>
              <w:t>420,6</w:t>
            </w:r>
          </w:p>
        </w:tc>
      </w:tr>
    </w:tbl>
    <w:p w14:paraId="3E374BE5" w14:textId="77777777" w:rsidR="00D73FFE" w:rsidRDefault="00D73FFE">
      <w:pPr>
        <w:spacing w:after="0"/>
      </w:pPr>
    </w:p>
    <w:p w14:paraId="6A675B6B" w14:textId="77777777" w:rsidR="00D73FFE" w:rsidRDefault="00CF3905">
      <w:r>
        <w:t>Povećanje se odnosi najvećim dijelom na nepredviđene rashode poslovanja i protokola.</w:t>
      </w:r>
    </w:p>
    <w:p w14:paraId="1A2AFFCD" w14:textId="77777777" w:rsidR="00D73FFE" w:rsidRDefault="00D73FFE"/>
    <w:p w14:paraId="7EA40C79" w14:textId="77777777" w:rsidR="00D73FFE" w:rsidRDefault="00CF3905">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648434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7F7637"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E70A5A"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84E79A"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B5CEAB" w14:textId="77777777" w:rsidR="00D73FFE" w:rsidRDefault="00CF390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C65A27" w14:textId="77777777" w:rsidR="00D73FFE" w:rsidRDefault="00CF390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7D5073" w14:textId="77777777" w:rsidR="00D73FFE" w:rsidRDefault="00CF3905">
            <w:pPr>
              <w:keepNext/>
              <w:keepLines/>
              <w:spacing w:after="0" w:line="240" w:lineRule="auto"/>
              <w:jc w:val="center"/>
            </w:pPr>
            <w:r>
              <w:rPr>
                <w:b/>
                <w:sz w:val="18"/>
              </w:rPr>
              <w:t>Indeks (%)</w:t>
            </w:r>
          </w:p>
        </w:tc>
      </w:tr>
      <w:tr w:rsidR="00D73FFE" w14:paraId="4D8A7A57" w14:textId="77777777">
        <w:tblPrEx>
          <w:tblCellMar>
            <w:top w:w="0" w:type="dxa"/>
            <w:bottom w:w="0" w:type="dxa"/>
          </w:tblCellMar>
        </w:tblPrEx>
        <w:trPr>
          <w:cantSplit/>
          <w:trHeight w:val="560"/>
        </w:trPr>
        <w:tc>
          <w:tcPr>
            <w:tcW w:w="700" w:type="dxa"/>
            <w:tcMar>
              <w:top w:w="0" w:type="dxa"/>
              <w:bottom w:w="0" w:type="dxa"/>
            </w:tcMar>
            <w:vAlign w:val="center"/>
          </w:tcPr>
          <w:p w14:paraId="3ED196FB" w14:textId="77777777" w:rsidR="00D73FFE" w:rsidRDefault="00CF3905">
            <w:pPr>
              <w:keepNext/>
              <w:keepLines/>
              <w:spacing w:after="0" w:line="240" w:lineRule="auto"/>
            </w:pPr>
            <w:r>
              <w:rPr>
                <w:sz w:val="18"/>
              </w:rPr>
              <w:t>343</w:t>
            </w:r>
          </w:p>
        </w:tc>
        <w:tc>
          <w:tcPr>
            <w:tcW w:w="3180" w:type="dxa"/>
            <w:tcMar>
              <w:top w:w="0" w:type="dxa"/>
              <w:bottom w:w="0" w:type="dxa"/>
            </w:tcMar>
            <w:vAlign w:val="center"/>
          </w:tcPr>
          <w:p w14:paraId="0999FAB9" w14:textId="77777777" w:rsidR="00D73FFE" w:rsidRDefault="00CF3905">
            <w:pPr>
              <w:keepNext/>
              <w:keepLines/>
              <w:spacing w:after="0" w:line="240" w:lineRule="auto"/>
            </w:pPr>
            <w:r>
              <w:rPr>
                <w:sz w:val="18"/>
              </w:rPr>
              <w:t>Ostali financijski rashodi (šifre 3431 do 3434)</w:t>
            </w:r>
          </w:p>
        </w:tc>
        <w:tc>
          <w:tcPr>
            <w:tcW w:w="700" w:type="dxa"/>
            <w:tcMar>
              <w:top w:w="0" w:type="dxa"/>
              <w:bottom w:w="0" w:type="dxa"/>
            </w:tcMar>
            <w:vAlign w:val="center"/>
          </w:tcPr>
          <w:p w14:paraId="73342F05" w14:textId="77777777" w:rsidR="00D73FFE" w:rsidRDefault="00CF3905">
            <w:pPr>
              <w:keepNext/>
              <w:keepLines/>
              <w:spacing w:after="0" w:line="240" w:lineRule="auto"/>
            </w:pPr>
            <w:r>
              <w:rPr>
                <w:sz w:val="18"/>
              </w:rPr>
              <w:t>343</w:t>
            </w:r>
          </w:p>
        </w:tc>
        <w:tc>
          <w:tcPr>
            <w:tcW w:w="1860" w:type="dxa"/>
            <w:tcMar>
              <w:top w:w="0" w:type="dxa"/>
              <w:bottom w:w="0" w:type="dxa"/>
            </w:tcMar>
            <w:vAlign w:val="center"/>
          </w:tcPr>
          <w:p w14:paraId="33FCCC47" w14:textId="77777777" w:rsidR="00D73FFE" w:rsidRDefault="00CF3905">
            <w:pPr>
              <w:keepNext/>
              <w:keepLines/>
              <w:spacing w:after="0" w:line="240" w:lineRule="auto"/>
              <w:jc w:val="right"/>
            </w:pPr>
            <w:r>
              <w:rPr>
                <w:sz w:val="18"/>
              </w:rPr>
              <w:t>0,00</w:t>
            </w:r>
          </w:p>
        </w:tc>
        <w:tc>
          <w:tcPr>
            <w:tcW w:w="1860" w:type="dxa"/>
            <w:tcMar>
              <w:top w:w="0" w:type="dxa"/>
              <w:bottom w:w="0" w:type="dxa"/>
            </w:tcMar>
            <w:vAlign w:val="center"/>
          </w:tcPr>
          <w:p w14:paraId="04358435" w14:textId="77777777" w:rsidR="00D73FFE" w:rsidRDefault="00CF3905">
            <w:pPr>
              <w:keepNext/>
              <w:keepLines/>
              <w:spacing w:after="0" w:line="240" w:lineRule="auto"/>
              <w:jc w:val="right"/>
            </w:pPr>
            <w:r>
              <w:rPr>
                <w:sz w:val="18"/>
              </w:rPr>
              <w:t>1.178,02</w:t>
            </w:r>
          </w:p>
        </w:tc>
        <w:tc>
          <w:tcPr>
            <w:tcW w:w="700" w:type="dxa"/>
            <w:tcMar>
              <w:top w:w="0" w:type="dxa"/>
              <w:bottom w:w="0" w:type="dxa"/>
            </w:tcMar>
            <w:vAlign w:val="center"/>
          </w:tcPr>
          <w:p w14:paraId="141D9283" w14:textId="77777777" w:rsidR="00D73FFE" w:rsidRDefault="00CF3905">
            <w:pPr>
              <w:keepNext/>
              <w:keepLines/>
              <w:spacing w:after="0" w:line="240" w:lineRule="auto"/>
              <w:jc w:val="right"/>
            </w:pPr>
            <w:r>
              <w:rPr>
                <w:sz w:val="18"/>
              </w:rPr>
              <w:t>-</w:t>
            </w:r>
          </w:p>
        </w:tc>
      </w:tr>
    </w:tbl>
    <w:p w14:paraId="548431C6" w14:textId="77777777" w:rsidR="00D73FFE" w:rsidRDefault="00D73FFE">
      <w:pPr>
        <w:spacing w:after="0"/>
      </w:pPr>
    </w:p>
    <w:p w14:paraId="6E764E6C" w14:textId="77777777" w:rsidR="00D73FFE" w:rsidRDefault="00CF3905">
      <w:r>
        <w:t>Povećanje se odnosi na isplatu preostalih 11 sudskih presuda za djelatnike.</w:t>
      </w:r>
    </w:p>
    <w:p w14:paraId="4BAB68BD" w14:textId="77777777" w:rsidR="00D73FFE" w:rsidRDefault="00D73FFE"/>
    <w:p w14:paraId="09DDFCE5" w14:textId="77777777" w:rsidR="00D73FFE" w:rsidRDefault="00CF3905">
      <w:pPr>
        <w:keepNext/>
        <w:spacing w:line="240" w:lineRule="auto"/>
        <w:jc w:val="center"/>
      </w:pPr>
      <w:r>
        <w:rPr>
          <w:b/>
          <w:sz w:val="28"/>
        </w:rPr>
        <w:lastRenderedPageBreak/>
        <w:t>Bilanca</w:t>
      </w:r>
    </w:p>
    <w:p w14:paraId="243B95B0" w14:textId="77777777" w:rsidR="00D73FFE" w:rsidRDefault="00CF3905">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121212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EA5921"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6A18CF"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46A487"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229506" w14:textId="77777777" w:rsidR="00D73FFE" w:rsidRDefault="00CF390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8BBFA0B" w14:textId="77777777" w:rsidR="00D73FFE" w:rsidRDefault="00CF390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74634B" w14:textId="77777777" w:rsidR="00D73FFE" w:rsidRDefault="00CF3905">
            <w:pPr>
              <w:keepNext/>
              <w:keepLines/>
              <w:spacing w:after="0" w:line="240" w:lineRule="auto"/>
              <w:jc w:val="center"/>
            </w:pPr>
            <w:r>
              <w:rPr>
                <w:b/>
                <w:sz w:val="18"/>
              </w:rPr>
              <w:t>Indeks (%)</w:t>
            </w:r>
          </w:p>
        </w:tc>
      </w:tr>
      <w:tr w:rsidR="00D73FFE" w14:paraId="6437B2A5" w14:textId="77777777">
        <w:tblPrEx>
          <w:tblCellMar>
            <w:top w:w="0" w:type="dxa"/>
            <w:bottom w:w="0" w:type="dxa"/>
          </w:tblCellMar>
        </w:tblPrEx>
        <w:trPr>
          <w:cantSplit/>
          <w:trHeight w:val="560"/>
        </w:trPr>
        <w:tc>
          <w:tcPr>
            <w:tcW w:w="700" w:type="dxa"/>
            <w:tcMar>
              <w:top w:w="0" w:type="dxa"/>
              <w:bottom w:w="0" w:type="dxa"/>
            </w:tcMar>
            <w:vAlign w:val="center"/>
          </w:tcPr>
          <w:p w14:paraId="5A542C6C" w14:textId="77777777" w:rsidR="00D73FFE" w:rsidRDefault="00CF3905">
            <w:pPr>
              <w:keepNext/>
              <w:keepLines/>
              <w:spacing w:after="0" w:line="240" w:lineRule="auto"/>
            </w:pPr>
            <w:r>
              <w:rPr>
                <w:sz w:val="18"/>
              </w:rPr>
              <w:t>16</w:t>
            </w:r>
          </w:p>
        </w:tc>
        <w:tc>
          <w:tcPr>
            <w:tcW w:w="3180" w:type="dxa"/>
            <w:tcMar>
              <w:top w:w="0" w:type="dxa"/>
              <w:bottom w:w="0" w:type="dxa"/>
            </w:tcMar>
            <w:vAlign w:val="center"/>
          </w:tcPr>
          <w:p w14:paraId="6A390406" w14:textId="77777777" w:rsidR="00D73FFE" w:rsidRDefault="00CF3905">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285C3D63" w14:textId="77777777" w:rsidR="00D73FFE" w:rsidRDefault="00CF3905">
            <w:pPr>
              <w:keepNext/>
              <w:keepLines/>
              <w:spacing w:after="0" w:line="240" w:lineRule="auto"/>
            </w:pPr>
            <w:r>
              <w:rPr>
                <w:sz w:val="18"/>
              </w:rPr>
              <w:t>16</w:t>
            </w:r>
          </w:p>
        </w:tc>
        <w:tc>
          <w:tcPr>
            <w:tcW w:w="1860" w:type="dxa"/>
            <w:tcMar>
              <w:top w:w="0" w:type="dxa"/>
              <w:bottom w:w="0" w:type="dxa"/>
            </w:tcMar>
            <w:vAlign w:val="center"/>
          </w:tcPr>
          <w:p w14:paraId="75ABC552" w14:textId="77777777" w:rsidR="00D73FFE" w:rsidRDefault="00CF3905">
            <w:pPr>
              <w:keepNext/>
              <w:keepLines/>
              <w:spacing w:after="0" w:line="240" w:lineRule="auto"/>
              <w:jc w:val="right"/>
            </w:pPr>
            <w:r>
              <w:rPr>
                <w:sz w:val="18"/>
              </w:rPr>
              <w:t>480,50</w:t>
            </w:r>
          </w:p>
        </w:tc>
        <w:tc>
          <w:tcPr>
            <w:tcW w:w="1860" w:type="dxa"/>
            <w:tcMar>
              <w:top w:w="0" w:type="dxa"/>
              <w:bottom w:w="0" w:type="dxa"/>
            </w:tcMar>
            <w:vAlign w:val="center"/>
          </w:tcPr>
          <w:p w14:paraId="59BDCA22" w14:textId="77777777" w:rsidR="00D73FFE" w:rsidRDefault="00CF3905">
            <w:pPr>
              <w:keepNext/>
              <w:keepLines/>
              <w:spacing w:after="0" w:line="240" w:lineRule="auto"/>
              <w:jc w:val="right"/>
            </w:pPr>
            <w:r>
              <w:rPr>
                <w:sz w:val="18"/>
              </w:rPr>
              <w:t>61.914,71</w:t>
            </w:r>
          </w:p>
        </w:tc>
        <w:tc>
          <w:tcPr>
            <w:tcW w:w="700" w:type="dxa"/>
            <w:tcMar>
              <w:top w:w="0" w:type="dxa"/>
              <w:bottom w:w="0" w:type="dxa"/>
            </w:tcMar>
            <w:vAlign w:val="center"/>
          </w:tcPr>
          <w:p w14:paraId="61005131" w14:textId="77777777" w:rsidR="00D73FFE" w:rsidRDefault="00CF3905">
            <w:pPr>
              <w:keepNext/>
              <w:keepLines/>
              <w:spacing w:after="0" w:line="240" w:lineRule="auto"/>
              <w:jc w:val="right"/>
            </w:pPr>
            <w:r>
              <w:rPr>
                <w:sz w:val="18"/>
              </w:rPr>
              <w:t>&gt;&gt;100</w:t>
            </w:r>
          </w:p>
        </w:tc>
      </w:tr>
    </w:tbl>
    <w:p w14:paraId="47CD48B8" w14:textId="77777777" w:rsidR="00D73FFE" w:rsidRDefault="00D73FFE">
      <w:pPr>
        <w:spacing w:after="0"/>
      </w:pPr>
    </w:p>
    <w:p w14:paraId="296BA073" w14:textId="77777777" w:rsidR="00D73FFE" w:rsidRDefault="00CF3905">
      <w:r>
        <w:t>Povećanje se odnosi na potraživanja za pomoći unutar općeg proračuna. Sukladno primjeni novog Pravilnika o proračunskom računovodstvu, potraživanja za pomoći iz inozemstva i od subjekata unutar općeg proračuna , evidentiraju se odvojeno , osim potraživanja</w:t>
      </w:r>
      <w:r>
        <w:t xml:space="preserve"> koja se odnose na pomoći iz nadležnog proračuna.</w:t>
      </w:r>
    </w:p>
    <w:p w14:paraId="20F71AF2" w14:textId="77777777" w:rsidR="00D73FFE" w:rsidRDefault="00D73FFE"/>
    <w:p w14:paraId="42D16E1C" w14:textId="77777777" w:rsidR="00D73FFE" w:rsidRDefault="00CF3905">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237F3C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7A0AD9"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FF2F81"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CE2755"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C79596" w14:textId="77777777" w:rsidR="00D73FFE" w:rsidRDefault="00CF390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C26DB0" w14:textId="77777777" w:rsidR="00D73FFE" w:rsidRDefault="00CF390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F6DCBF" w14:textId="77777777" w:rsidR="00D73FFE" w:rsidRDefault="00CF3905">
            <w:pPr>
              <w:keepNext/>
              <w:keepLines/>
              <w:spacing w:after="0" w:line="240" w:lineRule="auto"/>
              <w:jc w:val="center"/>
            </w:pPr>
            <w:r>
              <w:rPr>
                <w:b/>
                <w:sz w:val="18"/>
              </w:rPr>
              <w:t>Indeks (%)</w:t>
            </w:r>
          </w:p>
        </w:tc>
      </w:tr>
      <w:tr w:rsidR="00D73FFE" w14:paraId="258F9EB1" w14:textId="77777777">
        <w:tblPrEx>
          <w:tblCellMar>
            <w:top w:w="0" w:type="dxa"/>
            <w:bottom w:w="0" w:type="dxa"/>
          </w:tblCellMar>
        </w:tblPrEx>
        <w:trPr>
          <w:cantSplit/>
          <w:trHeight w:val="560"/>
        </w:trPr>
        <w:tc>
          <w:tcPr>
            <w:tcW w:w="700" w:type="dxa"/>
            <w:tcMar>
              <w:top w:w="0" w:type="dxa"/>
              <w:bottom w:w="0" w:type="dxa"/>
            </w:tcMar>
            <w:vAlign w:val="center"/>
          </w:tcPr>
          <w:p w14:paraId="634AF994" w14:textId="77777777" w:rsidR="00D73FFE" w:rsidRDefault="00CF3905">
            <w:pPr>
              <w:keepNext/>
              <w:keepLines/>
              <w:spacing w:after="0" w:line="240" w:lineRule="auto"/>
            </w:pPr>
            <w:r>
              <w:rPr>
                <w:sz w:val="18"/>
              </w:rPr>
              <w:t>19</w:t>
            </w:r>
          </w:p>
        </w:tc>
        <w:tc>
          <w:tcPr>
            <w:tcW w:w="3180" w:type="dxa"/>
            <w:tcMar>
              <w:top w:w="0" w:type="dxa"/>
              <w:bottom w:w="0" w:type="dxa"/>
            </w:tcMar>
            <w:vAlign w:val="center"/>
          </w:tcPr>
          <w:p w14:paraId="4E557C74" w14:textId="77777777" w:rsidR="00D73FFE" w:rsidRDefault="00CF3905">
            <w:pPr>
              <w:keepNext/>
              <w:keepLines/>
              <w:spacing w:after="0" w:line="240" w:lineRule="auto"/>
            </w:pPr>
            <w:r>
              <w:rPr>
                <w:sz w:val="18"/>
              </w:rPr>
              <w:t xml:space="preserve">Rashodi budućih razdoblja i nedospjela naplata prihoda (aktivna vremenska </w:t>
            </w:r>
            <w:r>
              <w:rPr>
                <w:sz w:val="18"/>
              </w:rPr>
              <w:t>razgraničenja) (šifre 191 do 193)</w:t>
            </w:r>
          </w:p>
        </w:tc>
        <w:tc>
          <w:tcPr>
            <w:tcW w:w="700" w:type="dxa"/>
            <w:tcMar>
              <w:top w:w="0" w:type="dxa"/>
              <w:bottom w:w="0" w:type="dxa"/>
            </w:tcMar>
            <w:vAlign w:val="center"/>
          </w:tcPr>
          <w:p w14:paraId="4094583D" w14:textId="77777777" w:rsidR="00D73FFE" w:rsidRDefault="00CF3905">
            <w:pPr>
              <w:keepNext/>
              <w:keepLines/>
              <w:spacing w:after="0" w:line="240" w:lineRule="auto"/>
            </w:pPr>
            <w:r>
              <w:rPr>
                <w:sz w:val="18"/>
              </w:rPr>
              <w:t>19</w:t>
            </w:r>
          </w:p>
        </w:tc>
        <w:tc>
          <w:tcPr>
            <w:tcW w:w="1860" w:type="dxa"/>
            <w:tcMar>
              <w:top w:w="0" w:type="dxa"/>
              <w:bottom w:w="0" w:type="dxa"/>
            </w:tcMar>
            <w:vAlign w:val="center"/>
          </w:tcPr>
          <w:p w14:paraId="1609FDCB" w14:textId="77777777" w:rsidR="00D73FFE" w:rsidRDefault="00CF3905">
            <w:pPr>
              <w:keepNext/>
              <w:keepLines/>
              <w:spacing w:after="0" w:line="240" w:lineRule="auto"/>
              <w:jc w:val="right"/>
            </w:pPr>
            <w:r>
              <w:rPr>
                <w:sz w:val="18"/>
              </w:rPr>
              <w:t>55.841,29</w:t>
            </w:r>
          </w:p>
        </w:tc>
        <w:tc>
          <w:tcPr>
            <w:tcW w:w="1860" w:type="dxa"/>
            <w:tcMar>
              <w:top w:w="0" w:type="dxa"/>
              <w:bottom w:w="0" w:type="dxa"/>
            </w:tcMar>
            <w:vAlign w:val="center"/>
          </w:tcPr>
          <w:p w14:paraId="185A223A" w14:textId="77777777" w:rsidR="00D73FFE" w:rsidRDefault="00CF3905">
            <w:pPr>
              <w:keepNext/>
              <w:keepLines/>
              <w:spacing w:after="0" w:line="240" w:lineRule="auto"/>
              <w:jc w:val="right"/>
            </w:pPr>
            <w:r>
              <w:rPr>
                <w:sz w:val="18"/>
              </w:rPr>
              <w:t>0,00</w:t>
            </w:r>
          </w:p>
        </w:tc>
        <w:tc>
          <w:tcPr>
            <w:tcW w:w="700" w:type="dxa"/>
            <w:tcMar>
              <w:top w:w="0" w:type="dxa"/>
              <w:bottom w:w="0" w:type="dxa"/>
            </w:tcMar>
            <w:vAlign w:val="center"/>
          </w:tcPr>
          <w:p w14:paraId="54DFB780" w14:textId="77777777" w:rsidR="00D73FFE" w:rsidRDefault="00CF3905">
            <w:pPr>
              <w:keepNext/>
              <w:keepLines/>
              <w:spacing w:after="0" w:line="240" w:lineRule="auto"/>
              <w:jc w:val="right"/>
            </w:pPr>
            <w:r>
              <w:rPr>
                <w:sz w:val="18"/>
              </w:rPr>
              <w:t>0</w:t>
            </w:r>
          </w:p>
        </w:tc>
      </w:tr>
    </w:tbl>
    <w:p w14:paraId="11C7A314" w14:textId="77777777" w:rsidR="00D73FFE" w:rsidRDefault="00D73FFE">
      <w:pPr>
        <w:spacing w:after="0"/>
      </w:pPr>
    </w:p>
    <w:p w14:paraId="32C7E147" w14:textId="77777777" w:rsidR="00D73FFE" w:rsidRDefault="00CF3905">
      <w:r>
        <w:t>Rashodi budućih razdoblja i nedospjelih naplata prihoda - aktivna vremenska razgraničenja promjenom Pravilnika o proračunskom računovodstvu više se ne koriste.</w:t>
      </w:r>
    </w:p>
    <w:p w14:paraId="391A1E4F" w14:textId="77777777" w:rsidR="00D73FFE" w:rsidRDefault="00D73FFE"/>
    <w:p w14:paraId="3A099B69" w14:textId="77777777" w:rsidR="00D73FFE" w:rsidRDefault="00CF3905">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037554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9BD567"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E56841D"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175979"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D06A6D" w14:textId="77777777" w:rsidR="00D73FFE" w:rsidRDefault="00CF390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8F878D" w14:textId="77777777" w:rsidR="00D73FFE" w:rsidRDefault="00CF390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500FA6" w14:textId="77777777" w:rsidR="00D73FFE" w:rsidRDefault="00CF3905">
            <w:pPr>
              <w:keepNext/>
              <w:keepLines/>
              <w:spacing w:after="0" w:line="240" w:lineRule="auto"/>
              <w:jc w:val="center"/>
            </w:pPr>
            <w:r>
              <w:rPr>
                <w:b/>
                <w:sz w:val="18"/>
              </w:rPr>
              <w:t>Indeks (%)</w:t>
            </w:r>
          </w:p>
        </w:tc>
      </w:tr>
      <w:tr w:rsidR="00D73FFE" w14:paraId="72A87B11" w14:textId="77777777">
        <w:tblPrEx>
          <w:tblCellMar>
            <w:top w:w="0" w:type="dxa"/>
            <w:bottom w:w="0" w:type="dxa"/>
          </w:tblCellMar>
        </w:tblPrEx>
        <w:trPr>
          <w:cantSplit/>
          <w:trHeight w:val="560"/>
        </w:trPr>
        <w:tc>
          <w:tcPr>
            <w:tcW w:w="700" w:type="dxa"/>
            <w:tcMar>
              <w:top w:w="0" w:type="dxa"/>
              <w:bottom w:w="0" w:type="dxa"/>
            </w:tcMar>
            <w:vAlign w:val="center"/>
          </w:tcPr>
          <w:p w14:paraId="47481197" w14:textId="77777777" w:rsidR="00D73FFE" w:rsidRDefault="00CF3905">
            <w:pPr>
              <w:keepNext/>
              <w:keepLines/>
              <w:spacing w:after="0" w:line="240" w:lineRule="auto"/>
            </w:pPr>
            <w:r>
              <w:rPr>
                <w:sz w:val="18"/>
              </w:rPr>
              <w:t>96</w:t>
            </w:r>
          </w:p>
        </w:tc>
        <w:tc>
          <w:tcPr>
            <w:tcW w:w="3180" w:type="dxa"/>
            <w:tcMar>
              <w:top w:w="0" w:type="dxa"/>
              <w:bottom w:w="0" w:type="dxa"/>
            </w:tcMar>
            <w:vAlign w:val="center"/>
          </w:tcPr>
          <w:p w14:paraId="32D7B39C" w14:textId="77777777" w:rsidR="00D73FFE" w:rsidRDefault="00CF3905">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181234C7" w14:textId="77777777" w:rsidR="00D73FFE" w:rsidRDefault="00CF3905">
            <w:pPr>
              <w:keepNext/>
              <w:keepLines/>
              <w:spacing w:after="0" w:line="240" w:lineRule="auto"/>
            </w:pPr>
            <w:r>
              <w:rPr>
                <w:sz w:val="18"/>
              </w:rPr>
              <w:t>96</w:t>
            </w:r>
          </w:p>
        </w:tc>
        <w:tc>
          <w:tcPr>
            <w:tcW w:w="1860" w:type="dxa"/>
            <w:tcMar>
              <w:top w:w="0" w:type="dxa"/>
              <w:bottom w:w="0" w:type="dxa"/>
            </w:tcMar>
            <w:vAlign w:val="center"/>
          </w:tcPr>
          <w:p w14:paraId="0D7F6640" w14:textId="77777777" w:rsidR="00D73FFE" w:rsidRDefault="00CF3905">
            <w:pPr>
              <w:keepNext/>
              <w:keepLines/>
              <w:spacing w:after="0" w:line="240" w:lineRule="auto"/>
              <w:jc w:val="right"/>
            </w:pPr>
            <w:r>
              <w:rPr>
                <w:sz w:val="18"/>
              </w:rPr>
              <w:t>11,93</w:t>
            </w:r>
          </w:p>
        </w:tc>
        <w:tc>
          <w:tcPr>
            <w:tcW w:w="1860" w:type="dxa"/>
            <w:tcMar>
              <w:top w:w="0" w:type="dxa"/>
              <w:bottom w:w="0" w:type="dxa"/>
            </w:tcMar>
            <w:vAlign w:val="center"/>
          </w:tcPr>
          <w:p w14:paraId="6B826250" w14:textId="77777777" w:rsidR="00D73FFE" w:rsidRDefault="00CF3905">
            <w:pPr>
              <w:keepNext/>
              <w:keepLines/>
              <w:spacing w:after="0" w:line="240" w:lineRule="auto"/>
              <w:jc w:val="right"/>
            </w:pPr>
            <w:r>
              <w:rPr>
                <w:sz w:val="18"/>
              </w:rPr>
              <w:t>60.799,39</w:t>
            </w:r>
          </w:p>
        </w:tc>
        <w:tc>
          <w:tcPr>
            <w:tcW w:w="700" w:type="dxa"/>
            <w:tcMar>
              <w:top w:w="0" w:type="dxa"/>
              <w:bottom w:w="0" w:type="dxa"/>
            </w:tcMar>
            <w:vAlign w:val="center"/>
          </w:tcPr>
          <w:p w14:paraId="040298B1" w14:textId="77777777" w:rsidR="00D73FFE" w:rsidRDefault="00CF3905">
            <w:pPr>
              <w:keepNext/>
              <w:keepLines/>
              <w:spacing w:after="0" w:line="240" w:lineRule="auto"/>
              <w:jc w:val="right"/>
            </w:pPr>
            <w:r>
              <w:rPr>
                <w:sz w:val="18"/>
              </w:rPr>
              <w:t>&gt;&gt;100</w:t>
            </w:r>
          </w:p>
        </w:tc>
      </w:tr>
    </w:tbl>
    <w:p w14:paraId="448620EE" w14:textId="77777777" w:rsidR="00D73FFE" w:rsidRDefault="00D73FFE">
      <w:pPr>
        <w:spacing w:after="0"/>
      </w:pPr>
    </w:p>
    <w:p w14:paraId="68AA17B6" w14:textId="77777777" w:rsidR="00D73FFE" w:rsidRDefault="00CF3905">
      <w:r>
        <w:t>Povećanje se odnosi na primljene pomoći iz inozemstva ili od subjekata unutar općeg proračuna koji nije nadležan. Donošenjem novog Pravilnika o proračunskom računovodstvu evidentiraju se primljene pomoći od drugih proračuna , kao što je pomoć od Ministarst</w:t>
      </w:r>
      <w:r>
        <w:t>va za isplatu plaća.</w:t>
      </w:r>
    </w:p>
    <w:p w14:paraId="605C855F" w14:textId="77777777" w:rsidR="00D73FFE" w:rsidRDefault="00D73FFE"/>
    <w:p w14:paraId="587568B3" w14:textId="77777777" w:rsidR="00D73FFE" w:rsidRDefault="00CF3905">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22D700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3E770A"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699693"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C23401"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5209D2" w14:textId="77777777" w:rsidR="00D73FFE" w:rsidRDefault="00CF390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4F6FB8" w14:textId="77777777" w:rsidR="00D73FFE" w:rsidRDefault="00CF390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47DA2B0" w14:textId="77777777" w:rsidR="00D73FFE" w:rsidRDefault="00CF3905">
            <w:pPr>
              <w:keepNext/>
              <w:keepLines/>
              <w:spacing w:after="0" w:line="240" w:lineRule="auto"/>
              <w:jc w:val="center"/>
            </w:pPr>
            <w:r>
              <w:rPr>
                <w:b/>
                <w:sz w:val="18"/>
              </w:rPr>
              <w:t>Indeks (%)</w:t>
            </w:r>
          </w:p>
        </w:tc>
      </w:tr>
      <w:tr w:rsidR="00D73FFE" w14:paraId="1B4395BA" w14:textId="77777777">
        <w:tblPrEx>
          <w:tblCellMar>
            <w:top w:w="0" w:type="dxa"/>
            <w:bottom w:w="0" w:type="dxa"/>
          </w:tblCellMar>
        </w:tblPrEx>
        <w:trPr>
          <w:cantSplit/>
          <w:trHeight w:val="560"/>
        </w:trPr>
        <w:tc>
          <w:tcPr>
            <w:tcW w:w="700" w:type="dxa"/>
            <w:tcMar>
              <w:top w:w="0" w:type="dxa"/>
              <w:bottom w:w="0" w:type="dxa"/>
            </w:tcMar>
            <w:vAlign w:val="center"/>
          </w:tcPr>
          <w:p w14:paraId="2D332C97" w14:textId="77777777" w:rsidR="00D73FFE" w:rsidRDefault="00CF3905">
            <w:pPr>
              <w:keepNext/>
              <w:keepLines/>
              <w:spacing w:after="0" w:line="240" w:lineRule="auto"/>
            </w:pPr>
            <w:r>
              <w:rPr>
                <w:sz w:val="18"/>
              </w:rPr>
              <w:t>991</w:t>
            </w:r>
          </w:p>
        </w:tc>
        <w:tc>
          <w:tcPr>
            <w:tcW w:w="3180" w:type="dxa"/>
            <w:tcMar>
              <w:top w:w="0" w:type="dxa"/>
              <w:bottom w:w="0" w:type="dxa"/>
            </w:tcMar>
            <w:vAlign w:val="center"/>
          </w:tcPr>
          <w:p w14:paraId="1F42738D" w14:textId="77777777" w:rsidR="00D73FFE" w:rsidRDefault="00CF3905">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5357A1C4" w14:textId="77777777" w:rsidR="00D73FFE" w:rsidRDefault="00CF3905">
            <w:pPr>
              <w:keepNext/>
              <w:keepLines/>
              <w:spacing w:after="0" w:line="240" w:lineRule="auto"/>
            </w:pPr>
            <w:r>
              <w:rPr>
                <w:sz w:val="18"/>
              </w:rPr>
              <w:t>991</w:t>
            </w:r>
          </w:p>
        </w:tc>
        <w:tc>
          <w:tcPr>
            <w:tcW w:w="1860" w:type="dxa"/>
            <w:tcMar>
              <w:top w:w="0" w:type="dxa"/>
              <w:bottom w:w="0" w:type="dxa"/>
            </w:tcMar>
            <w:vAlign w:val="center"/>
          </w:tcPr>
          <w:p w14:paraId="63E5C939" w14:textId="77777777" w:rsidR="00D73FFE" w:rsidRDefault="00CF3905">
            <w:pPr>
              <w:keepNext/>
              <w:keepLines/>
              <w:spacing w:after="0" w:line="240" w:lineRule="auto"/>
              <w:jc w:val="right"/>
            </w:pPr>
            <w:r>
              <w:rPr>
                <w:sz w:val="18"/>
              </w:rPr>
              <w:t>10.365,91</w:t>
            </w:r>
          </w:p>
        </w:tc>
        <w:tc>
          <w:tcPr>
            <w:tcW w:w="1860" w:type="dxa"/>
            <w:tcMar>
              <w:top w:w="0" w:type="dxa"/>
              <w:bottom w:w="0" w:type="dxa"/>
            </w:tcMar>
            <w:vAlign w:val="center"/>
          </w:tcPr>
          <w:p w14:paraId="01657491" w14:textId="77777777" w:rsidR="00D73FFE" w:rsidRDefault="00CF3905">
            <w:pPr>
              <w:keepNext/>
              <w:keepLines/>
              <w:spacing w:after="0" w:line="240" w:lineRule="auto"/>
              <w:jc w:val="right"/>
            </w:pPr>
            <w:r>
              <w:rPr>
                <w:sz w:val="18"/>
              </w:rPr>
              <w:t>14.755,01</w:t>
            </w:r>
          </w:p>
        </w:tc>
        <w:tc>
          <w:tcPr>
            <w:tcW w:w="700" w:type="dxa"/>
            <w:tcMar>
              <w:top w:w="0" w:type="dxa"/>
              <w:bottom w:w="0" w:type="dxa"/>
            </w:tcMar>
            <w:vAlign w:val="center"/>
          </w:tcPr>
          <w:p w14:paraId="2C357E86" w14:textId="77777777" w:rsidR="00D73FFE" w:rsidRDefault="00CF3905">
            <w:pPr>
              <w:keepNext/>
              <w:keepLines/>
              <w:spacing w:after="0" w:line="240" w:lineRule="auto"/>
              <w:jc w:val="right"/>
            </w:pPr>
            <w:r>
              <w:rPr>
                <w:sz w:val="18"/>
              </w:rPr>
              <w:t>142,3</w:t>
            </w:r>
          </w:p>
        </w:tc>
      </w:tr>
    </w:tbl>
    <w:p w14:paraId="0AD3C4A5" w14:textId="77777777" w:rsidR="00D73FFE" w:rsidRDefault="00D73FFE">
      <w:pPr>
        <w:spacing w:after="0"/>
      </w:pPr>
    </w:p>
    <w:p w14:paraId="792BB562" w14:textId="77777777" w:rsidR="00D73FFE" w:rsidRDefault="00CF3905">
      <w:r>
        <w:lastRenderedPageBreak/>
        <w:t xml:space="preserve">Odnosi se na </w:t>
      </w:r>
      <w:proofErr w:type="spellStart"/>
      <w:r>
        <w:t>Carnetovu</w:t>
      </w:r>
      <w:proofErr w:type="spellEnd"/>
      <w:r>
        <w:t xml:space="preserve"> imovinu koja nam je dana na korištenje, a nije nam prenesena u vlasništvo.</w:t>
      </w:r>
    </w:p>
    <w:p w14:paraId="1CDA6514" w14:textId="77777777" w:rsidR="00D73FFE" w:rsidRDefault="00D73FFE"/>
    <w:p w14:paraId="016484DD" w14:textId="77777777" w:rsidR="00D73FFE" w:rsidRDefault="00CF3905">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517441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49C889"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9EF6BB"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6C2370"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98440F" w14:textId="77777777" w:rsidR="00D73FFE" w:rsidRDefault="00CF390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77D6C5" w14:textId="77777777" w:rsidR="00D73FFE" w:rsidRDefault="00CF390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770128" w14:textId="77777777" w:rsidR="00D73FFE" w:rsidRDefault="00CF3905">
            <w:pPr>
              <w:keepNext/>
              <w:keepLines/>
              <w:spacing w:after="0" w:line="240" w:lineRule="auto"/>
              <w:jc w:val="center"/>
            </w:pPr>
            <w:r>
              <w:rPr>
                <w:b/>
                <w:sz w:val="18"/>
              </w:rPr>
              <w:t>Indeks (%)</w:t>
            </w:r>
          </w:p>
        </w:tc>
      </w:tr>
      <w:tr w:rsidR="00D73FFE" w14:paraId="25BE706C" w14:textId="77777777">
        <w:tblPrEx>
          <w:tblCellMar>
            <w:top w:w="0" w:type="dxa"/>
            <w:bottom w:w="0" w:type="dxa"/>
          </w:tblCellMar>
        </w:tblPrEx>
        <w:trPr>
          <w:cantSplit/>
          <w:trHeight w:val="560"/>
        </w:trPr>
        <w:tc>
          <w:tcPr>
            <w:tcW w:w="700" w:type="dxa"/>
            <w:tcMar>
              <w:top w:w="0" w:type="dxa"/>
              <w:bottom w:w="0" w:type="dxa"/>
            </w:tcMar>
            <w:vAlign w:val="center"/>
          </w:tcPr>
          <w:p w14:paraId="73F67ABF" w14:textId="77777777" w:rsidR="00D73FFE" w:rsidRDefault="00CF3905">
            <w:pPr>
              <w:keepNext/>
              <w:keepLines/>
              <w:spacing w:after="0" w:line="240" w:lineRule="auto"/>
            </w:pPr>
            <w:r>
              <w:rPr>
                <w:sz w:val="18"/>
              </w:rPr>
              <w:t>996</w:t>
            </w:r>
          </w:p>
        </w:tc>
        <w:tc>
          <w:tcPr>
            <w:tcW w:w="3180" w:type="dxa"/>
            <w:tcMar>
              <w:top w:w="0" w:type="dxa"/>
              <w:bottom w:w="0" w:type="dxa"/>
            </w:tcMar>
            <w:vAlign w:val="center"/>
          </w:tcPr>
          <w:p w14:paraId="51CFF230" w14:textId="77777777" w:rsidR="00D73FFE" w:rsidRDefault="00CF3905">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318AFE92" w14:textId="77777777" w:rsidR="00D73FFE" w:rsidRDefault="00CF3905">
            <w:pPr>
              <w:keepNext/>
              <w:keepLines/>
              <w:spacing w:after="0" w:line="240" w:lineRule="auto"/>
            </w:pPr>
            <w:r>
              <w:rPr>
                <w:sz w:val="18"/>
              </w:rPr>
              <w:t>996</w:t>
            </w:r>
          </w:p>
        </w:tc>
        <w:tc>
          <w:tcPr>
            <w:tcW w:w="1860" w:type="dxa"/>
            <w:tcMar>
              <w:top w:w="0" w:type="dxa"/>
              <w:bottom w:w="0" w:type="dxa"/>
            </w:tcMar>
            <w:vAlign w:val="center"/>
          </w:tcPr>
          <w:p w14:paraId="3C54E66E" w14:textId="77777777" w:rsidR="00D73FFE" w:rsidRDefault="00CF3905">
            <w:pPr>
              <w:keepNext/>
              <w:keepLines/>
              <w:spacing w:after="0" w:line="240" w:lineRule="auto"/>
              <w:jc w:val="right"/>
            </w:pPr>
            <w:r>
              <w:rPr>
                <w:sz w:val="18"/>
              </w:rPr>
              <w:t>10.365,91</w:t>
            </w:r>
          </w:p>
        </w:tc>
        <w:tc>
          <w:tcPr>
            <w:tcW w:w="1860" w:type="dxa"/>
            <w:tcMar>
              <w:top w:w="0" w:type="dxa"/>
              <w:bottom w:w="0" w:type="dxa"/>
            </w:tcMar>
            <w:vAlign w:val="center"/>
          </w:tcPr>
          <w:p w14:paraId="2018D710" w14:textId="77777777" w:rsidR="00D73FFE" w:rsidRDefault="00CF3905">
            <w:pPr>
              <w:keepNext/>
              <w:keepLines/>
              <w:spacing w:after="0" w:line="240" w:lineRule="auto"/>
              <w:jc w:val="right"/>
            </w:pPr>
            <w:r>
              <w:rPr>
                <w:sz w:val="18"/>
              </w:rPr>
              <w:t>14.755,01</w:t>
            </w:r>
          </w:p>
        </w:tc>
        <w:tc>
          <w:tcPr>
            <w:tcW w:w="700" w:type="dxa"/>
            <w:tcMar>
              <w:top w:w="0" w:type="dxa"/>
              <w:bottom w:w="0" w:type="dxa"/>
            </w:tcMar>
            <w:vAlign w:val="center"/>
          </w:tcPr>
          <w:p w14:paraId="73FF5721" w14:textId="77777777" w:rsidR="00D73FFE" w:rsidRDefault="00CF3905">
            <w:pPr>
              <w:keepNext/>
              <w:keepLines/>
              <w:spacing w:after="0" w:line="240" w:lineRule="auto"/>
              <w:jc w:val="right"/>
            </w:pPr>
            <w:r>
              <w:rPr>
                <w:sz w:val="18"/>
              </w:rPr>
              <w:t>142,3</w:t>
            </w:r>
          </w:p>
        </w:tc>
      </w:tr>
    </w:tbl>
    <w:p w14:paraId="15EB9436" w14:textId="77777777" w:rsidR="00D73FFE" w:rsidRDefault="00D73FFE">
      <w:pPr>
        <w:spacing w:after="0"/>
      </w:pPr>
    </w:p>
    <w:p w14:paraId="09A19F35" w14:textId="77777777" w:rsidR="00D73FFE" w:rsidRDefault="00CF3905">
      <w:r>
        <w:t xml:space="preserve">Odnosi se na </w:t>
      </w:r>
      <w:proofErr w:type="spellStart"/>
      <w:r>
        <w:t>Carnetovu</w:t>
      </w:r>
      <w:proofErr w:type="spellEnd"/>
      <w:r>
        <w:t xml:space="preserve"> imovinu koja nam je dana na korištenje, a nije nam prenesena u vlasništvo.</w:t>
      </w:r>
    </w:p>
    <w:p w14:paraId="18656197" w14:textId="77777777" w:rsidR="00D73FFE" w:rsidRDefault="00D73FFE"/>
    <w:p w14:paraId="045D8D37" w14:textId="77777777" w:rsidR="00D73FFE" w:rsidRDefault="00CF3905">
      <w:pPr>
        <w:keepNext/>
        <w:spacing w:line="240" w:lineRule="auto"/>
        <w:jc w:val="center"/>
      </w:pPr>
      <w:r>
        <w:rPr>
          <w:b/>
          <w:sz w:val="28"/>
        </w:rPr>
        <w:t>Promjene u vrijednosti i obujmu imovine i obveza</w:t>
      </w:r>
    </w:p>
    <w:p w14:paraId="13FF22AB" w14:textId="77777777" w:rsidR="00D73FFE" w:rsidRDefault="00CF3905">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352043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E1A9A0"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353F1C"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C2E2CC"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838CD7" w14:textId="77777777" w:rsidR="00D73FFE" w:rsidRDefault="00CF3905">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ABF010D" w14:textId="77777777" w:rsidR="00D73FFE" w:rsidRDefault="00CF3905">
            <w:pPr>
              <w:keepNext/>
              <w:keepLines/>
              <w:spacing w:after="0" w:line="240" w:lineRule="auto"/>
              <w:jc w:val="center"/>
            </w:pPr>
            <w:r>
              <w:rPr>
                <w:b/>
                <w:sz w:val="18"/>
              </w:rPr>
              <w:t xml:space="preserve">Iznos </w:t>
            </w:r>
            <w:r>
              <w:rPr>
                <w:b/>
                <w:sz w:val="18"/>
              </w:rPr>
              <w:t>smanjenja</w:t>
            </w:r>
          </w:p>
        </w:tc>
        <w:tc>
          <w:tcPr>
            <w:tcW w:w="700" w:type="dxa"/>
            <w:shd w:val="clear" w:color="auto" w:fill="E7F0F9"/>
            <w:tcMar>
              <w:top w:w="0" w:type="dxa"/>
              <w:bottom w:w="0" w:type="dxa"/>
            </w:tcMar>
            <w:vAlign w:val="center"/>
          </w:tcPr>
          <w:p w14:paraId="3C982DC2" w14:textId="77777777" w:rsidR="00D73FFE" w:rsidRDefault="00CF3905">
            <w:pPr>
              <w:keepNext/>
              <w:keepLines/>
              <w:spacing w:after="0" w:line="240" w:lineRule="auto"/>
              <w:jc w:val="center"/>
            </w:pPr>
            <w:r>
              <w:rPr>
                <w:b/>
                <w:sz w:val="18"/>
              </w:rPr>
              <w:t>Indeks (%)</w:t>
            </w:r>
          </w:p>
        </w:tc>
      </w:tr>
      <w:tr w:rsidR="00D73FFE" w14:paraId="2430ACAB" w14:textId="77777777">
        <w:tblPrEx>
          <w:tblCellMar>
            <w:top w:w="0" w:type="dxa"/>
            <w:bottom w:w="0" w:type="dxa"/>
          </w:tblCellMar>
        </w:tblPrEx>
        <w:trPr>
          <w:cantSplit/>
          <w:trHeight w:val="560"/>
        </w:trPr>
        <w:tc>
          <w:tcPr>
            <w:tcW w:w="700" w:type="dxa"/>
            <w:tcMar>
              <w:top w:w="0" w:type="dxa"/>
              <w:bottom w:w="0" w:type="dxa"/>
            </w:tcMar>
            <w:vAlign w:val="center"/>
          </w:tcPr>
          <w:p w14:paraId="31D3A8D1" w14:textId="77777777" w:rsidR="00D73FFE" w:rsidRDefault="00CF3905">
            <w:pPr>
              <w:keepNext/>
              <w:keepLines/>
              <w:spacing w:after="0" w:line="240" w:lineRule="auto"/>
            </w:pPr>
            <w:r>
              <w:rPr>
                <w:sz w:val="18"/>
              </w:rPr>
              <w:t>91511</w:t>
            </w:r>
          </w:p>
        </w:tc>
        <w:tc>
          <w:tcPr>
            <w:tcW w:w="3180" w:type="dxa"/>
            <w:tcMar>
              <w:top w:w="0" w:type="dxa"/>
              <w:bottom w:w="0" w:type="dxa"/>
            </w:tcMar>
            <w:vAlign w:val="center"/>
          </w:tcPr>
          <w:p w14:paraId="200016C5" w14:textId="77777777" w:rsidR="00D73FFE" w:rsidRDefault="00CF3905">
            <w:pPr>
              <w:keepNext/>
              <w:keepLines/>
              <w:spacing w:after="0" w:line="240" w:lineRule="auto"/>
            </w:pPr>
            <w:r>
              <w:rPr>
                <w:sz w:val="18"/>
              </w:rPr>
              <w:t>Promjene u vrijednosti imovine (šifre P001+P008)</w:t>
            </w:r>
          </w:p>
        </w:tc>
        <w:tc>
          <w:tcPr>
            <w:tcW w:w="700" w:type="dxa"/>
            <w:tcMar>
              <w:top w:w="0" w:type="dxa"/>
              <w:bottom w:w="0" w:type="dxa"/>
            </w:tcMar>
            <w:vAlign w:val="center"/>
          </w:tcPr>
          <w:p w14:paraId="3E7649ED" w14:textId="77777777" w:rsidR="00D73FFE" w:rsidRDefault="00CF3905">
            <w:pPr>
              <w:keepNext/>
              <w:keepLines/>
              <w:spacing w:after="0" w:line="240" w:lineRule="auto"/>
            </w:pPr>
            <w:r>
              <w:rPr>
                <w:sz w:val="18"/>
              </w:rPr>
              <w:t>91511</w:t>
            </w:r>
          </w:p>
        </w:tc>
        <w:tc>
          <w:tcPr>
            <w:tcW w:w="1860" w:type="dxa"/>
            <w:tcMar>
              <w:top w:w="0" w:type="dxa"/>
              <w:bottom w:w="0" w:type="dxa"/>
            </w:tcMar>
            <w:vAlign w:val="center"/>
          </w:tcPr>
          <w:p w14:paraId="5AFED214" w14:textId="77777777" w:rsidR="00D73FFE" w:rsidRDefault="00CF3905">
            <w:pPr>
              <w:keepNext/>
              <w:keepLines/>
              <w:spacing w:after="0" w:line="240" w:lineRule="auto"/>
              <w:jc w:val="right"/>
            </w:pPr>
            <w:r>
              <w:rPr>
                <w:sz w:val="18"/>
              </w:rPr>
              <w:t>0,00</w:t>
            </w:r>
          </w:p>
        </w:tc>
        <w:tc>
          <w:tcPr>
            <w:tcW w:w="1860" w:type="dxa"/>
            <w:tcMar>
              <w:top w:w="0" w:type="dxa"/>
              <w:bottom w:w="0" w:type="dxa"/>
            </w:tcMar>
            <w:vAlign w:val="center"/>
          </w:tcPr>
          <w:p w14:paraId="7CCE1FF4" w14:textId="77777777" w:rsidR="00D73FFE" w:rsidRDefault="00CF3905">
            <w:pPr>
              <w:keepNext/>
              <w:keepLines/>
              <w:spacing w:after="0" w:line="240" w:lineRule="auto"/>
              <w:jc w:val="right"/>
            </w:pPr>
            <w:r>
              <w:rPr>
                <w:sz w:val="18"/>
              </w:rPr>
              <w:t>45.826,86</w:t>
            </w:r>
          </w:p>
        </w:tc>
        <w:tc>
          <w:tcPr>
            <w:tcW w:w="700" w:type="dxa"/>
            <w:tcMar>
              <w:top w:w="0" w:type="dxa"/>
              <w:bottom w:w="0" w:type="dxa"/>
            </w:tcMar>
            <w:vAlign w:val="center"/>
          </w:tcPr>
          <w:p w14:paraId="0AACD9EA" w14:textId="77777777" w:rsidR="00D73FFE" w:rsidRDefault="00CF3905">
            <w:pPr>
              <w:keepNext/>
              <w:keepLines/>
              <w:spacing w:after="0" w:line="240" w:lineRule="auto"/>
              <w:jc w:val="right"/>
            </w:pPr>
            <w:r>
              <w:rPr>
                <w:sz w:val="18"/>
              </w:rPr>
              <w:t>-</w:t>
            </w:r>
          </w:p>
        </w:tc>
      </w:tr>
    </w:tbl>
    <w:p w14:paraId="7A5CDA9C" w14:textId="77777777" w:rsidR="00D73FFE" w:rsidRDefault="00D73FFE">
      <w:pPr>
        <w:spacing w:after="0"/>
      </w:pPr>
    </w:p>
    <w:p w14:paraId="573B7F3E" w14:textId="77777777" w:rsidR="00D73FFE" w:rsidRDefault="00CF3905">
      <w:r>
        <w:t>Smanjenje se odnosi na obračunato amortizaciju-ispravak vrijednosti dugotrajne imovine za 2025. godinu.</w:t>
      </w:r>
    </w:p>
    <w:p w14:paraId="208D4F02" w14:textId="77777777" w:rsidR="00D73FFE" w:rsidRDefault="00D73FFE"/>
    <w:p w14:paraId="681CBF43" w14:textId="77777777" w:rsidR="00D73FFE" w:rsidRDefault="00CF3905">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73FFE" w14:paraId="642B79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E26EBE"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BF3D19"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97CC44"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83FA8F" w14:textId="77777777" w:rsidR="00D73FFE" w:rsidRDefault="00CF3905">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D302015" w14:textId="77777777" w:rsidR="00D73FFE" w:rsidRDefault="00CF3905">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A4BACA8" w14:textId="77777777" w:rsidR="00D73FFE" w:rsidRDefault="00CF3905">
            <w:pPr>
              <w:keepNext/>
              <w:keepLines/>
              <w:spacing w:after="0" w:line="240" w:lineRule="auto"/>
              <w:jc w:val="center"/>
            </w:pPr>
            <w:r>
              <w:rPr>
                <w:b/>
                <w:sz w:val="18"/>
              </w:rPr>
              <w:t>Indeks (%)</w:t>
            </w:r>
          </w:p>
        </w:tc>
      </w:tr>
      <w:tr w:rsidR="00D73FFE" w14:paraId="5B4A1F17" w14:textId="77777777">
        <w:tblPrEx>
          <w:tblCellMar>
            <w:top w:w="0" w:type="dxa"/>
            <w:bottom w:w="0" w:type="dxa"/>
          </w:tblCellMar>
        </w:tblPrEx>
        <w:trPr>
          <w:cantSplit/>
          <w:trHeight w:val="560"/>
        </w:trPr>
        <w:tc>
          <w:tcPr>
            <w:tcW w:w="700" w:type="dxa"/>
            <w:tcMar>
              <w:top w:w="0" w:type="dxa"/>
              <w:bottom w:w="0" w:type="dxa"/>
            </w:tcMar>
            <w:vAlign w:val="center"/>
          </w:tcPr>
          <w:p w14:paraId="72E126D9" w14:textId="77777777" w:rsidR="00D73FFE" w:rsidRDefault="00CF3905">
            <w:pPr>
              <w:keepNext/>
              <w:keepLines/>
              <w:spacing w:after="0" w:line="240" w:lineRule="auto"/>
            </w:pPr>
            <w:r>
              <w:rPr>
                <w:sz w:val="18"/>
              </w:rPr>
              <w:t>91512</w:t>
            </w:r>
          </w:p>
        </w:tc>
        <w:tc>
          <w:tcPr>
            <w:tcW w:w="3180" w:type="dxa"/>
            <w:tcMar>
              <w:top w:w="0" w:type="dxa"/>
              <w:bottom w:w="0" w:type="dxa"/>
            </w:tcMar>
            <w:vAlign w:val="center"/>
          </w:tcPr>
          <w:p w14:paraId="429C3CA2" w14:textId="77777777" w:rsidR="00D73FFE" w:rsidRDefault="00CF3905">
            <w:pPr>
              <w:keepNext/>
              <w:keepLines/>
              <w:spacing w:after="0" w:line="240" w:lineRule="auto"/>
            </w:pPr>
            <w:r>
              <w:rPr>
                <w:sz w:val="18"/>
              </w:rPr>
              <w:t xml:space="preserve">Promjene u obujmu imovine (šifre </w:t>
            </w:r>
            <w:r>
              <w:rPr>
                <w:sz w:val="18"/>
              </w:rPr>
              <w:t>P016+P023)</w:t>
            </w:r>
          </w:p>
        </w:tc>
        <w:tc>
          <w:tcPr>
            <w:tcW w:w="700" w:type="dxa"/>
            <w:tcMar>
              <w:top w:w="0" w:type="dxa"/>
              <w:bottom w:w="0" w:type="dxa"/>
            </w:tcMar>
            <w:vAlign w:val="center"/>
          </w:tcPr>
          <w:p w14:paraId="7ECED89B" w14:textId="77777777" w:rsidR="00D73FFE" w:rsidRDefault="00CF3905">
            <w:pPr>
              <w:keepNext/>
              <w:keepLines/>
              <w:spacing w:after="0" w:line="240" w:lineRule="auto"/>
            </w:pPr>
            <w:r>
              <w:rPr>
                <w:sz w:val="18"/>
              </w:rPr>
              <w:t>91512</w:t>
            </w:r>
          </w:p>
        </w:tc>
        <w:tc>
          <w:tcPr>
            <w:tcW w:w="1860" w:type="dxa"/>
            <w:tcMar>
              <w:top w:w="0" w:type="dxa"/>
              <w:bottom w:w="0" w:type="dxa"/>
            </w:tcMar>
            <w:vAlign w:val="center"/>
          </w:tcPr>
          <w:p w14:paraId="6058B6A1" w14:textId="77777777" w:rsidR="00D73FFE" w:rsidRDefault="00CF3905">
            <w:pPr>
              <w:keepNext/>
              <w:keepLines/>
              <w:spacing w:after="0" w:line="240" w:lineRule="auto"/>
              <w:jc w:val="right"/>
            </w:pPr>
            <w:r>
              <w:rPr>
                <w:sz w:val="18"/>
              </w:rPr>
              <w:t>218,75</w:t>
            </w:r>
          </w:p>
        </w:tc>
        <w:tc>
          <w:tcPr>
            <w:tcW w:w="1860" w:type="dxa"/>
            <w:tcMar>
              <w:top w:w="0" w:type="dxa"/>
              <w:bottom w:w="0" w:type="dxa"/>
            </w:tcMar>
            <w:vAlign w:val="center"/>
          </w:tcPr>
          <w:p w14:paraId="4663364C" w14:textId="77777777" w:rsidR="00D73FFE" w:rsidRDefault="00CF3905">
            <w:pPr>
              <w:keepNext/>
              <w:keepLines/>
              <w:spacing w:after="0" w:line="240" w:lineRule="auto"/>
              <w:jc w:val="right"/>
            </w:pPr>
            <w:r>
              <w:rPr>
                <w:sz w:val="18"/>
              </w:rPr>
              <w:t>0,00</w:t>
            </w:r>
          </w:p>
        </w:tc>
        <w:tc>
          <w:tcPr>
            <w:tcW w:w="700" w:type="dxa"/>
            <w:tcMar>
              <w:top w:w="0" w:type="dxa"/>
              <w:bottom w:w="0" w:type="dxa"/>
            </w:tcMar>
            <w:vAlign w:val="center"/>
          </w:tcPr>
          <w:p w14:paraId="6726EC74" w14:textId="77777777" w:rsidR="00D73FFE" w:rsidRDefault="00CF3905">
            <w:pPr>
              <w:keepNext/>
              <w:keepLines/>
              <w:spacing w:after="0" w:line="240" w:lineRule="auto"/>
              <w:jc w:val="right"/>
            </w:pPr>
            <w:r>
              <w:rPr>
                <w:sz w:val="18"/>
              </w:rPr>
              <w:t>0</w:t>
            </w:r>
          </w:p>
        </w:tc>
      </w:tr>
    </w:tbl>
    <w:p w14:paraId="4597A659" w14:textId="77777777" w:rsidR="00D73FFE" w:rsidRDefault="00D73FFE">
      <w:pPr>
        <w:spacing w:after="0"/>
      </w:pPr>
    </w:p>
    <w:p w14:paraId="65D57ADF" w14:textId="77777777" w:rsidR="00D73FFE" w:rsidRDefault="00CF3905">
      <w:r>
        <w:t>Povećanje se odnosi na donaciju Crvenog križa Županja koji su nam u 2025. godinu donirali pisač marke Epson u iznosu od 218,75 eura.</w:t>
      </w:r>
    </w:p>
    <w:p w14:paraId="49D7B559" w14:textId="77777777" w:rsidR="00D73FFE" w:rsidRDefault="00D73FFE"/>
    <w:p w14:paraId="7354E63B" w14:textId="77777777" w:rsidR="00D73FFE" w:rsidRDefault="00CF3905">
      <w:pPr>
        <w:keepNext/>
        <w:spacing w:line="240" w:lineRule="auto"/>
        <w:jc w:val="center"/>
      </w:pPr>
      <w:r>
        <w:rPr>
          <w:b/>
          <w:sz w:val="28"/>
        </w:rPr>
        <w:t>Izvještaj o obvezama</w:t>
      </w:r>
    </w:p>
    <w:p w14:paraId="1B11498A" w14:textId="77777777" w:rsidR="00D73FFE" w:rsidRDefault="00CF3905">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73FFE" w14:paraId="417934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3F0063" w14:textId="77777777" w:rsidR="00D73FFE" w:rsidRDefault="00CF390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FE93DA" w14:textId="77777777" w:rsidR="00D73FFE" w:rsidRDefault="00CF390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7B13C0" w14:textId="77777777" w:rsidR="00D73FFE" w:rsidRDefault="00CF390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B16DDD" w14:textId="77777777" w:rsidR="00D73FFE" w:rsidRDefault="00CF390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ED08B35" w14:textId="77777777" w:rsidR="00D73FFE" w:rsidRDefault="00CF3905">
            <w:pPr>
              <w:keepNext/>
              <w:keepLines/>
              <w:spacing w:after="0" w:line="240" w:lineRule="auto"/>
              <w:jc w:val="center"/>
            </w:pPr>
            <w:r>
              <w:rPr>
                <w:b/>
                <w:sz w:val="18"/>
              </w:rPr>
              <w:t>Indeks (%)</w:t>
            </w:r>
          </w:p>
        </w:tc>
      </w:tr>
      <w:tr w:rsidR="00D73FFE" w14:paraId="43FE9841" w14:textId="77777777">
        <w:tblPrEx>
          <w:tblCellMar>
            <w:top w:w="0" w:type="dxa"/>
            <w:bottom w:w="0" w:type="dxa"/>
          </w:tblCellMar>
        </w:tblPrEx>
        <w:trPr>
          <w:cantSplit/>
          <w:trHeight w:val="560"/>
        </w:trPr>
        <w:tc>
          <w:tcPr>
            <w:tcW w:w="700" w:type="dxa"/>
            <w:tcMar>
              <w:top w:w="0" w:type="dxa"/>
              <w:bottom w:w="0" w:type="dxa"/>
            </w:tcMar>
            <w:vAlign w:val="center"/>
          </w:tcPr>
          <w:p w14:paraId="61E071A2" w14:textId="77777777" w:rsidR="00D73FFE" w:rsidRDefault="00D73FFE">
            <w:pPr>
              <w:keepNext/>
              <w:keepLines/>
              <w:spacing w:after="0" w:line="240" w:lineRule="auto"/>
            </w:pPr>
          </w:p>
        </w:tc>
        <w:tc>
          <w:tcPr>
            <w:tcW w:w="3180" w:type="dxa"/>
            <w:tcMar>
              <w:top w:w="0" w:type="dxa"/>
              <w:bottom w:w="0" w:type="dxa"/>
            </w:tcMar>
            <w:vAlign w:val="center"/>
          </w:tcPr>
          <w:p w14:paraId="7A745134" w14:textId="77777777" w:rsidR="00D73FFE" w:rsidRDefault="00CF3905">
            <w:pPr>
              <w:keepNext/>
              <w:keepLines/>
              <w:spacing w:after="0" w:line="240" w:lineRule="auto"/>
            </w:pPr>
            <w:r>
              <w:rPr>
                <w:sz w:val="18"/>
              </w:rPr>
              <w:t xml:space="preserve">Stanje dospjelih obveza na </w:t>
            </w:r>
            <w:r>
              <w:rPr>
                <w:sz w:val="18"/>
              </w:rPr>
              <w:t>kraju izvještajnog razdoblja (šifre V008+D23+D24 + 'D dio 25,26' + D27)</w:t>
            </w:r>
          </w:p>
        </w:tc>
        <w:tc>
          <w:tcPr>
            <w:tcW w:w="700" w:type="dxa"/>
            <w:tcMar>
              <w:top w:w="0" w:type="dxa"/>
              <w:bottom w:w="0" w:type="dxa"/>
            </w:tcMar>
            <w:vAlign w:val="center"/>
          </w:tcPr>
          <w:p w14:paraId="5B5C33AC" w14:textId="77777777" w:rsidR="00D73FFE" w:rsidRDefault="00CF3905">
            <w:pPr>
              <w:keepNext/>
              <w:keepLines/>
              <w:spacing w:after="0" w:line="240" w:lineRule="auto"/>
            </w:pPr>
            <w:r>
              <w:rPr>
                <w:sz w:val="18"/>
              </w:rPr>
              <w:t>V007</w:t>
            </w:r>
          </w:p>
        </w:tc>
        <w:tc>
          <w:tcPr>
            <w:tcW w:w="1860" w:type="dxa"/>
            <w:tcMar>
              <w:top w:w="0" w:type="dxa"/>
              <w:bottom w:w="0" w:type="dxa"/>
            </w:tcMar>
            <w:vAlign w:val="center"/>
          </w:tcPr>
          <w:p w14:paraId="7B372A04" w14:textId="77777777" w:rsidR="00D73FFE" w:rsidRDefault="00CF3905">
            <w:pPr>
              <w:keepNext/>
              <w:keepLines/>
              <w:spacing w:after="0" w:line="240" w:lineRule="auto"/>
              <w:jc w:val="right"/>
            </w:pPr>
            <w:r>
              <w:rPr>
                <w:sz w:val="18"/>
              </w:rPr>
              <w:t>0,00</w:t>
            </w:r>
          </w:p>
        </w:tc>
        <w:tc>
          <w:tcPr>
            <w:tcW w:w="700" w:type="dxa"/>
            <w:tcMar>
              <w:top w:w="0" w:type="dxa"/>
              <w:bottom w:w="0" w:type="dxa"/>
            </w:tcMar>
            <w:vAlign w:val="center"/>
          </w:tcPr>
          <w:p w14:paraId="0E53E82C" w14:textId="77777777" w:rsidR="00D73FFE" w:rsidRDefault="00CF3905">
            <w:pPr>
              <w:keepNext/>
              <w:keepLines/>
              <w:spacing w:after="0" w:line="240" w:lineRule="auto"/>
              <w:jc w:val="right"/>
            </w:pPr>
            <w:r>
              <w:rPr>
                <w:sz w:val="18"/>
              </w:rPr>
              <w:t>-</w:t>
            </w:r>
          </w:p>
        </w:tc>
      </w:tr>
    </w:tbl>
    <w:p w14:paraId="1923DF44" w14:textId="77777777" w:rsidR="00D73FFE" w:rsidRDefault="00D73FFE">
      <w:pPr>
        <w:spacing w:after="0"/>
      </w:pPr>
    </w:p>
    <w:p w14:paraId="1038EB87" w14:textId="77777777" w:rsidR="00D73FFE" w:rsidRDefault="00CF3905">
      <w:pPr>
        <w:jc w:val="both"/>
      </w:pPr>
      <w:r>
        <w:lastRenderedPageBreak/>
        <w:t>Stanje dospjelih obveza na kraju izvještajnog razdoblja (šifra 007) iznosi 0,00 EUR. Osnovna škola Rogoznica nema iskazanih dospjelih obveza. Sve obveze koje su iskazane su nedospjele, odnose se na obveze za zaposlene, redovne i materijalne troškove  za pr</w:t>
      </w:r>
      <w:r>
        <w:t>osinac 2025. godine koji će biti podmireni u siječnju 2026. godine.</w:t>
      </w:r>
    </w:p>
    <w:p w14:paraId="72B059E1" w14:textId="77777777" w:rsidR="00D73FFE" w:rsidRDefault="00D73FFE"/>
    <w:sectPr w:rsidR="00D73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FE"/>
    <w:rsid w:val="00CF3905"/>
    <w:rsid w:val="00D73F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DB56"/>
  <w15:docId w15:val="{647B0898-8E7E-4892-BE69-097D4FF5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1135</Words>
  <Characters>6475</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Ucenik</dc:creator>
  <cp:lastModifiedBy>Ucenik</cp:lastModifiedBy>
  <cp:revision>2</cp:revision>
  <dcterms:created xsi:type="dcterms:W3CDTF">2026-02-05T07:45:00Z</dcterms:created>
  <dcterms:modified xsi:type="dcterms:W3CDTF">2026-02-05T07:45:00Z</dcterms:modified>
</cp:coreProperties>
</file>