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1e490ea6a7452f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12727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ROGOZNICA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210.963,72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231.507,09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282.520,34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241.801,47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71.556,62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10.294,38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PRIHODA OD NEFINANCIJSKE IMOVINE (šifre 7-4,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X002, 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71.556,62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10.294,38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14,4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Osnovna škola Rogoznica u razdoblju od 01. siječnja do 31. ožujka 2026. godine ostvarila je ukupne prihode u iznosu 231.507,09 EUR (šifra 6), što je 9,7% više u odnosu na isto razdoblje prethodne godine. Ukupni rashodi poslovanja iznose 241.801,47 EUR (šifra 3), što je za 14,4% manje u odnosu na isto razdoblje prethodne godine.  Škola je ostvarila manjak prihoda i primitaka u iznosu od 10.294,38 EUR (šifra Y005). Manjak se odnosi na materijalne troškove zaposlenih i škole koji će biti plaćeni u travnju 2026. godine.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231.979,76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188.806,40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81,4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Smanjenje se odnosi na plaće zaposlenih. U izvještajnom razdoblju knjižene su tri plaće za 1/2026, 2/2026 i 3/2026. Dok su u istom razdoblju prethodne godine knjižene četiri plaće za 12/2024, 1/2025, 2/2025 i 3/2025. Bila je uključena plaća za 12/2024. zbog vremenskog razgraničenja.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1c692506b44798" /></Relationships>
</file>