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dee9d69c5f443ba"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12727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ROGOZNICA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458.950,47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490.338,10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517.072,89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497.542,18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58.122,42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7.204,08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PRIHODA OD NEFINANCIJSKE IMOVINE (šifre 7-4,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X002, 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58.122,42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7.204,08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12,4</w:t>
            </w:r>
          </w:p>
        </w:tc>
      </w:tr>
    </w:tbl>
    <w:p>
      <w:pPr>
        <w:spacing w:before="0" w:after="0"/>
      </w:pPr>
    </w:p>
    <w:p>
      <w:pPr>
        <w:jc w:val="both"/>
      </w:pPr>
      <w:r>
        <w:t xml:space="preserve">Osnovna škola Rogoznica u razdoblju od 01. siječnja do 30. lipnja 2026. godine ostvarila je ukupne prihode u iznosu 490.338,10 EUR (šifra 6), što je 6,8% više u odnosu na isto razdoblje prethodne godine. Ukupni rashodi poslovanja iznose 497.542,18 EUR (šifra 3), što je za 3,8% manje u odnosu na isto razdoblje prethodne godine. Škola je ostvarila manjak prihoda i primitaka u iznosu od 7.204,08 EUR (šifra Y005). Manjak se odnosi na materijalne troškove zaposlenih i škole koji će biti plaćeni u srpnju 2026. godine. Preneseni manjak poslovanja iznosi 67.505,56 EUR. Uspoređujući polugodišnji izvještaj prošle godine sa izvještajem ove godine uviđamo da je razlika prihoda i rashoda u ovoj godini smanjena. Razlog leži u primjeni novog pravilnika o proračunskom računovodstvu. Rashodi za zaposlene i ostali režijski troškovi se ne evidentiraju na kontu vremenskog razgraničenja te spomenuti troškovi nisu evidentirani u rashodima, već u prenesenom manjku poslovanja.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(bruto) (šifre 3111 do 3114)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347.968,45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322.755,10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92,8</w:t>
            </w:r>
          </w:p>
        </w:tc>
      </w:tr>
    </w:tbl>
    <w:p>
      <w:pPr>
        <w:spacing w:before="0" w:after="0"/>
      </w:pPr>
    </w:p>
    <w:p>
      <w:r>
        <w:t xml:space="preserve">Zbog primjene novog pravilnika o proračunskom računovodstvu, rashodi za zaposlene za 12. mjesec prošle godine se ne evidentiraju na kontu vremenskog razgraničenja, tj. na kontu rashoda za zaposlene u 2026. godini. U ovoj godini bilježimo trošak plaća za 1.,2.,3.,4.,5. i 6. mjesec.</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14.359,93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18.311,50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127,5</w:t>
            </w:r>
          </w:p>
        </w:tc>
      </w:tr>
    </w:tbl>
    <w:p>
      <w:pPr>
        <w:spacing w:before="0" w:after="0"/>
      </w:pPr>
    </w:p>
    <w:p>
      <w:r>
        <w:t xml:space="preserve">Povećanje se odnosi na isplatu materijalnih prava za zaposlene.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23.813,95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21.626,87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90,8</w:t>
            </w:r>
          </w:p>
        </w:tc>
      </w:tr>
    </w:tbl>
    <w:p>
      <w:pPr>
        <w:spacing w:before="0" w:after="0"/>
      </w:pPr>
    </w:p>
    <w:p>
      <w:r>
        <w:t xml:space="preserve">Smanjenje se odnosi najvećim dijelom na naknade za prijevoz zaposlenika, službena putovanja i stručna usavršavanja.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25.212,86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27.077,40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107,4</w:t>
            </w:r>
          </w:p>
        </w:tc>
      </w:tr>
    </w:tbl>
    <w:p>
      <w:pPr>
        <w:spacing w:before="0" w:after="0"/>
      </w:pPr>
    </w:p>
    <w:p>
      <w:r>
        <w:t xml:space="preserve">Povećanje se odnosi najvećim dijelom na kupnju potrošnog materijala, lož ulja i povećanje troškova električne energije.  .</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716,75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2.365,01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330,0</w:t>
            </w:r>
          </w:p>
        </w:tc>
      </w:tr>
    </w:tbl>
    <w:p>
      <w:pPr>
        <w:spacing w:before="0" w:after="0"/>
      </w:pPr>
    </w:p>
    <w:p>
      <w:pPr>
        <w:jc w:val="both"/>
      </w:pPr>
      <w:r>
        <w:t xml:space="preserve">Povećanje je nastalo zbog povećanja troškova održavanja objekta za potrebe redovnog poslovanja .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3.373,25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1951,9</w:t>
            </w:r>
          </w:p>
        </w:tc>
      </w:tr>
    </w:tbl>
    <w:p>
      <w:pPr>
        <w:spacing w:before="0" w:after="0"/>
      </w:pPr>
    </w:p>
    <w:p>
      <w:r>
        <w:t xml:space="preserve">Povećanje troškova odnosi se na sređivanje arhivske građe.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Stanje dospjelih obveza na kraju izvještajnog razdoblja (šifra 007) iznosi 0,00 EUR. Osnovna škola Rogoznica nema iskazanih dospjelih obveza. Sve obveze koje su iskazane su nedospjele, odnose se na obveze za zaposlene, redovne i materijalne troškove  za lipanj 2026. godine koji će biti podmireni u srpnju 2026. godine.</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7c7213c1c0d7429f" /></Relationships>
</file>